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Установлены требования, которым должно соответствовать гражданское экспортное оружие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гражданскому экспортному оружию относится оружие, производимое только для экспорта в соответствии с техническими характеристиками, установленными требованиями стран-импортеров. Гражданское экспортное оружие производится на основе моделей гражданского оружия, разрешенных к обороту на территории РФ и прошедших обязательное подтверждение соответствия.</w:t>
      </w: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РФ запрещаются продажа, приобретение, ношение, использование, ввоз гражданского экспортного оружия и патронов к нему. Каждая единица гражданского экспортного оружия и основные его части должны иметь ясно видимую, неуничтожаемую без механической обработки отличительную маркировку, подтверждающую отличие гражданского экспортного оружия от гражданского оружия, разрешенного к обороту на территории РФ. Обязательное подтверждение соответствия гражданского экспортного оружия проводится в том числе в целях идентификации вида оружия, а также удостоверения наличия отличительной маркировки.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Вывоз из РФ гражданского экспортного оружия и патронов к нему осуществляется по разрешениям Росгвардии. В ряде случаев, установленных Правительством РФ, выдача указанных разрешений осуществляется при наличии разрешения межведомственного координационного органа по экспортному контролю на осуществление внешнеэкономических операций.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определено, что ведомственная охрана оптовой генерирующей компании, созданной на основании решений Правительства РФ в результате реорганизации дочерних и зависимых акционерных обществ Российского открытого акционерного общества энергетики и электрификации "Единая энергетическая система России", в уставный капитал которой переданы генерирующие объекты гидроэлектростанций, обеспечивает физическую охрану объектов топливно-энергетического комплекса, принадлежащих на праве собственности указанным оптовой генерирующей компании и ее дочерним обществам, и принадлежащего им имущества, необходимого для функционирования таких объектов топливно-энергетического комплекса.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от 07.07.2025 № 210-ФЗ «</w:t>
      </w:r>
      <w:r>
        <w:rPr>
          <w:rFonts w:ascii="Times New Roman" w:hAnsi="Times New Roman"/>
          <w:sz w:val="28"/>
        </w:rPr>
        <w:t>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</w:rPr>
        <w:t xml:space="preserve"> вступает в силу со дня его официального опубликования, за исключением отдельных положений, вступающих в силу с 1 марта 2026 года.</w:t>
      </w:r>
    </w:p>
    <w:p w14:paraId="1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2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2025-07-14T12:47:01Z</dcterms:modified>
</cp:coreProperties>
</file>