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Конституционный Суд РФ не обнаружил нарушений в порядке назначения ежемесячной денежной компенсации, выплачиваемой членам семей лиц, проходивших военную службу, в случае их гибели (смерти) при исполнении обязанностей военной службы либо смерти вследствие военной травмы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противоречащим Конституции РФ признан абзац второй пункта 18 Правил выплаты ежемесячной денежной компенсации, установленной частями 9, 10 и 13 статьи 3 Федерального закона "О денежном довольствии военнослужащих и предоставлении им отдельных выплат", военнослужащим, гражданам, призванным на военные сборы, гражданам, пребывавшим в добровольческих формированиях, пенсионное обеспечение которых осуществляется СФР, и членам их семей (утверждены Постановлением Правительства РФ от 22 февраля 2012 года N 142; далее также - Правила), поскольку он по своему конституционно-правовому смыслу в системе действующего правового регулирования предполагает, что ежемесячная денежная компенсация в соответствии с частью 9 статьи 3 Федерального закона "О денежном довольствии военнослужащих и предоставлении им отдельных выплат" членам семей военнослужащих, проходивших военную службу по призыву и погибших (умерших) при исполнении ими обязанностей военной службы либо умерших вследствие военной травмы до вступления в силу указанного законодательного акта, назначается с 1 января 2012 года.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Конституционный Суд, в частности, указал, что днем обращения за назначением ежемесячной денежной компенсации в силу абзаца второго пункта 18 Правил считается день подачи заявления и документов, представление которых заявителем предусмотрено перечнем, содержащимся в приложении к Правилам. Раскрывая в абзаце втором значение термина "день обращения за назначением ежемесячной денежной компенсации", пункт 18 Правил в абзаце первом содержит указание на то, что компенсация, предусмотренная частью 9 статьи 3 Федерального закона "О денежном довольствии военнослужащих и предоставлении им отдельных выплат", назначается со дня возникновения права на нее, но не ранее чем с 1 января 2012 года, и выплачивается в размерах, действовавших на соответствующий год. Конкретизируя момент назначения ежемесячной денежной компенсации, положения приведенного пункта основываются на необходимости учитывать как индивидуально значимое обстоятельство, представляющее собой день возникновения права на данную выплату, так и факт, имеющий общее значение, - день вступления в силу Федерального закона "О денежном довольствии военнослужащих и предоставлении им отдельных выплат".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ежемесячная денежная компенсация предназначена для возмещения вреда, причиненного гибелью (смертью) военнослужащего, членам его семьи, постольку день возникновения права на данную выплату - которая в силу прямого указания предоставляется за прошлое время без каких-либо ограничений, кроме тех, что обусловлены моментом вступления в силу Федерального закона "О денежном довольствии военнослужащих и предоставлении им отдельных выплат", - совпадает с днем гибели (смерти) гражданина, проходившего военную службу как по контракту, так и по призыву.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членам семей военнослужащих, погибших (умерших) при исполнении ими обязанностей военной службы или умерших вследствие военной травмы, права на получение ежемесячной денежной компенсации за прошлое время с момента гибели (смерти) военнослужащего, но не ранее даты вступления в силу Федерального закона "О денежном довольствии военнослужащих и предоставлении им отдельных выплат", независимо от момента обращения с заявлением о ее назначении согласуется с целями их социальной защиты, а буквальный смысл оспариваемой нормы, определяя лишь день назначения такой компенсации, не препятствует обеспечению членов семей указанных военнослужащих данной выплатой в полном объеме, как это предусмотрено законом.</w:t>
      </w:r>
    </w:p>
    <w:p w14:paraId="1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Судебные постановления, вынесенные в истолковании, расходящемся с его конституционно-правовым смыслом, выявленным в настоящем Постановлении, подлежат пересмотру в установленном порядке (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Конституционного Суда РФ от 03.07.2025 № 27-П «</w:t>
      </w:r>
      <w:r>
        <w:rPr>
          <w:rFonts w:ascii="Times New Roman" w:hAnsi="Times New Roman"/>
          <w:sz w:val="28"/>
        </w:rPr>
        <w:t>По делу о проверке конституционности абзаца второго пункта 18 Правил выплаты ежемесячной денежной компенсации, установленной частями 9, 10 и 13 статьи 3 Федерального закона "О денежном довольствии военнослужащих и предоставлении им отдельных выплат", военнослужащим, гражданам, призванным на военные сборы, гражданам, пребывавшим в добровольческих формированиях, пенсионное обеспечение которых осуществляется Фондом пенсионного и социального страхования Российской Федерации, и членам их семей в связи с жалобой гражданки А.М. Андреевой»)</w:t>
      </w:r>
      <w:r>
        <w:rPr>
          <w:rFonts w:ascii="Times New Roman" w:hAnsi="Times New Roman"/>
          <w:sz w:val="28"/>
        </w:rPr>
        <w:t xml:space="preserve">. </w:t>
      </w:r>
    </w:p>
    <w:p w14:paraId="11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3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2025-07-14T12:34:22Z</dcterms:modified>
</cp:coreProperties>
</file>