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1 сентября 2026 г. применяются актуализированные правила обращения с отходами производства и потребления в части осветительных устройств, электрических ламп, содержащих в своем составе ртуть и (или) ее соединения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Устанавливаются требования к местам накопления отработанных ртутьсодержащих ламп, их транспортированию, утилизации и обезвреживанию.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Признается утратившим силу Постановление Правительства РФ от 28 декабря 2020 г. N 2314, регулирующее аналогичные правоотношения.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Правительства РФ от 30.05.2026 N 651</w:t>
      </w:r>
      <w:r>
        <w:rPr>
          <w:rFonts w:ascii="Times New Roman" w:hAnsi="Times New Roman"/>
          <w:sz w:val="28"/>
        </w:rPr>
        <w:t xml:space="preserve"> действует до 1 сентября 2032 г.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2026-06-08T15:05:20Z</dcterms:created>
  <dcterms:modified xsi:type="dcterms:W3CDTF">2026-06-08T15:05:20Z</dcterms:modified>
</cp:coreProperties>
</file>