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До конца 2025 года продлеваются правила предоставления госгарантий по кредитам и облигационным займам, привлекаемым юридическими лицами на цели осуществления своей основной производственной деятельности и капитальные вложения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числе прочего уточняются порядок отбора принципалов для оказания государственной гарантийной поддержки в 2025 году, особенности предоставления гарантий в 2025 году, перечень функций, осуществляемых агентом Правительства РФ в целях предоставления, сопровождения, администрирования и исполнения гарантий, взыскания задолженности, перечень условий, установленных в кредитном договоре, при наличии которых предоставляется гарантия по кредиту (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РФ от 01.07.2025 № 987 «</w:t>
      </w:r>
      <w:r>
        <w:rPr>
          <w:rFonts w:ascii="Times New Roman" w:hAnsi="Times New Roman"/>
          <w:sz w:val="28"/>
        </w:rPr>
        <w:t>О внесении изменений в некоторые акты Правительства Российской Федерации»)</w:t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2025-07-14T12:23:16Z</dcterms:modified>
</cp:coreProperties>
</file>