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ЦБ РФ продлил ограничение на снятие иностранной валюты и запрет на комиссию до 9 сентября 2026 года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Ограничение</w:t>
      </w:r>
      <w:r>
        <w:rPr>
          <w:rFonts w:ascii="Times New Roman" w:hAnsi="Times New Roman"/>
          <w:sz w:val="28"/>
        </w:rPr>
        <w:t xml:space="preserve"> затрагивает граждан, которые открыли валютный счет или вклад до 9 марта 2022 года. Лимит на снятие - 10 тыс. долл. США либо эквивалент в евро. Валюта вклада или счета неважна. Главное, чтобы физлицо не использовало это право ранее. Остаток можно получить в рублях.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6 месяцев </w:t>
      </w:r>
      <w:r>
        <w:rPr>
          <w:rFonts w:ascii="Times New Roman" w:hAnsi="Times New Roman"/>
          <w:sz w:val="28"/>
        </w:rPr>
        <w:t>продлили запрет</w:t>
      </w:r>
      <w:r>
        <w:rPr>
          <w:rFonts w:ascii="Times New Roman" w:hAnsi="Times New Roman"/>
          <w:sz w:val="28"/>
        </w:rPr>
        <w:t xml:space="preserve"> для банков взимать с граждан комиссию при выдаче валюты со счетов и вкладов.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Юрлицам-нерезидентам </w:t>
      </w:r>
      <w:r>
        <w:rPr>
          <w:rFonts w:ascii="Times New Roman" w:hAnsi="Times New Roman"/>
          <w:sz w:val="28"/>
        </w:rPr>
        <w:t>не выдадут</w:t>
      </w:r>
      <w:r>
        <w:rPr>
          <w:rFonts w:ascii="Times New Roman" w:hAnsi="Times New Roman"/>
          <w:sz w:val="28"/>
        </w:rPr>
        <w:t xml:space="preserve"> до 9 сентября 2026 года наличные в долларах США, евро, фунтах стерлингов, японских иенах. Организации-резиденты эти валюты все так же </w:t>
      </w:r>
      <w:r>
        <w:rPr>
          <w:rFonts w:ascii="Times New Roman" w:hAnsi="Times New Roman"/>
          <w:sz w:val="28"/>
        </w:rPr>
        <w:t>могут получать</w:t>
      </w:r>
      <w:r>
        <w:rPr>
          <w:rFonts w:ascii="Times New Roman" w:hAnsi="Times New Roman"/>
          <w:sz w:val="28"/>
        </w:rPr>
        <w:t xml:space="preserve"> на командировочные по нормативам. По другим валютам ограничений нет.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Валютные переводы без открытия счета и через электронные кошельки </w:t>
      </w:r>
      <w:r>
        <w:rPr>
          <w:rFonts w:ascii="Times New Roman" w:hAnsi="Times New Roman"/>
          <w:sz w:val="28"/>
        </w:rPr>
        <w:t>продолжат выдавать</w:t>
      </w:r>
      <w:r>
        <w:rPr>
          <w:rFonts w:ascii="Times New Roman" w:hAnsi="Times New Roman"/>
          <w:sz w:val="28"/>
        </w:rPr>
        <w:t xml:space="preserve"> в рублях.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Информация</w:t>
      </w:r>
      <w:r>
        <w:rPr>
          <w:rFonts w:ascii="Times New Roman" w:hAnsi="Times New Roman"/>
          <w:i w:val="1"/>
          <w:sz w:val="28"/>
        </w:rPr>
        <w:t xml:space="preserve"> Банка России от 06.03.2026</w:t>
      </w: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1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2026-03-19T13:54:28Z</dcterms:created>
  <dcterms:modified xsi:type="dcterms:W3CDTF">2026-03-19T13:54:28Z</dcterms:modified>
</cp:coreProperties>
</file>