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Исполнительные производства мобилизованных, контрактников и добровольцев 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должник мобилизован либо является контрактником или добровольцем, судебный пристав-исполнитель </w:t>
      </w:r>
      <w:r>
        <w:rPr>
          <w:rFonts w:ascii="Times New Roman" w:hAnsi="Times New Roman"/>
          <w:color w:val="000000"/>
          <w:sz w:val="28"/>
          <w:u w:color="000000"/>
        </w:rPr>
        <w:t>приостановит</w:t>
      </w:r>
      <w:r>
        <w:rPr>
          <w:rFonts w:ascii="Times New Roman" w:hAnsi="Times New Roman"/>
          <w:color w:val="000000"/>
          <w:sz w:val="28"/>
        </w:rPr>
        <w:t xml:space="preserve"> исполнительное производство. </w:t>
      </w:r>
    </w:p>
    <w:p w14:paraId="0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Судебный пристав-исполнитель приостановит его также по просьбе взыскателя-мобилизованного (контрактника, добровольца).</w:t>
      </w:r>
    </w:p>
    <w:p w14:paraId="0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color="000000"/>
        </w:rPr>
        <w:t>Исключение</w:t>
      </w:r>
      <w:r>
        <w:rPr>
          <w:rFonts w:ascii="Times New Roman" w:hAnsi="Times New Roman"/>
          <w:color w:val="000000"/>
          <w:sz w:val="28"/>
        </w:rPr>
        <w:t>: не могут приостановить производство в отношении требований по алиментным обязательствам, по обязательствам о возмещении вреда жизни и здоровью, а также имущественных требований по коррупционным правонарушениям.</w:t>
      </w:r>
    </w:p>
    <w:p w14:paraId="0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Исполнительное производство приостанавливается в обычном порядке с учетом следующих особенностей:</w:t>
      </w:r>
    </w:p>
    <w:p w14:paraId="1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 основании </w:t>
      </w:r>
      <w:r>
        <w:rPr>
          <w:rFonts w:ascii="Times New Roman" w:hAnsi="Times New Roman"/>
          <w:color w:val="000000"/>
          <w:sz w:val="28"/>
          <w:u w:color="000000"/>
        </w:rPr>
        <w:t>п. 3 ч. 1 ст. 40</w:t>
      </w:r>
      <w:r>
        <w:rPr>
          <w:rFonts w:ascii="Times New Roman" w:hAnsi="Times New Roman"/>
          <w:color w:val="000000"/>
          <w:sz w:val="28"/>
        </w:rPr>
        <w:t xml:space="preserve"> Закона об исполнительном производстве оно приостанавливается в отношении не только мобилизованных (контрактников, добровольцев), но и </w:t>
      </w:r>
      <w:r>
        <w:rPr>
          <w:rFonts w:ascii="Times New Roman" w:hAnsi="Times New Roman"/>
          <w:color w:val="000000"/>
          <w:sz w:val="28"/>
          <w:u w:color="000000"/>
        </w:rPr>
        <w:t>членов</w:t>
      </w:r>
      <w:r>
        <w:rPr>
          <w:rFonts w:ascii="Times New Roman" w:hAnsi="Times New Roman"/>
          <w:color w:val="000000"/>
          <w:sz w:val="28"/>
        </w:rPr>
        <w:t xml:space="preserve"> их семей при возврате просроченной задолженности по заключенным ими договорам кредита или займа (далее - кредитным договорам);</w:t>
      </w:r>
    </w:p>
    <w:p w14:paraId="1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приостановленное по </w:t>
      </w:r>
      <w:r>
        <w:rPr>
          <w:rFonts w:ascii="Times New Roman" w:hAnsi="Times New Roman"/>
          <w:color w:val="000000"/>
          <w:sz w:val="28"/>
          <w:u w:color="000000"/>
        </w:rPr>
        <w:t>п. 3 ч. 1 ст. 40</w:t>
      </w:r>
      <w:r>
        <w:rPr>
          <w:rFonts w:ascii="Times New Roman" w:hAnsi="Times New Roman"/>
          <w:color w:val="000000"/>
          <w:sz w:val="28"/>
        </w:rPr>
        <w:t xml:space="preserve"> Закона об исполнительном производстве исполнительное производство по взысканию просроченной задолженности по кредитному договору мобилизованного (контрактника, добровольца) или членов его семьи </w:t>
      </w:r>
      <w:r>
        <w:rPr>
          <w:rFonts w:ascii="Times New Roman" w:hAnsi="Times New Roman"/>
          <w:color w:val="000000"/>
          <w:sz w:val="28"/>
          <w:u w:color="000000"/>
        </w:rPr>
        <w:t>могут возобновить</w:t>
      </w:r>
      <w:r>
        <w:rPr>
          <w:rFonts w:ascii="Times New Roman" w:hAnsi="Times New Roman"/>
          <w:color w:val="000000"/>
          <w:sz w:val="28"/>
        </w:rPr>
        <w:t xml:space="preserve"> не ранее 180 дней после устранения оснований приостановления.</w:t>
      </w:r>
    </w:p>
    <w:p w14:paraId="12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3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4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5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6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2026-06-23T05:54:52Z</dcterms:created>
  <dcterms:modified xsi:type="dcterms:W3CDTF">2026-06-23T05:54:52Z</dcterms:modified>
</cp:coreProperties>
</file>