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50" w:right="0"/>
        <w:jc w:val="left"/>
        <w:rPr>
          <w:sz w:val="20"/>
        </w:rPr>
      </w:pPr>
      <w:r>
        <w:rPr/>
        <w:drawing>
          <wp:inline distT="0" distB="0" distL="0" distR="0">
            <wp:extent cx="2488565" cy="868045"/>
            <wp:effectExtent l="0" t="0" r="0" b="0"/>
            <wp:docPr id="1" name="Image 1" descr="Основное лого 2 Ханты-Мансийский автономный округ – Ю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Основное лого 2 Ханты-Мансийский автономный округ – Югр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39" w:after="0"/>
        <w:ind w:left="0" w:right="0"/>
        <w:jc w:val="left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Как изменить собственнику вид разрешенного использования земельного </w:t>
      </w:r>
      <w:r>
        <w:rPr>
          <w:b/>
          <w:bCs/>
          <w:i/>
          <w:iCs/>
          <w:spacing w:val="-2"/>
        </w:rPr>
        <w:t>участка?</w:t>
      </w:r>
    </w:p>
    <w:p>
      <w:pPr>
        <w:pStyle w:val="BodyText"/>
        <w:spacing w:before="17" w:after="0"/>
        <w:ind w:left="0" w:right="0"/>
        <w:jc w:val="left"/>
        <w:rPr/>
      </w:pPr>
      <w:r>
        <w:rPr/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Изменение вида разрешённого использования земельного участка — процедура, которая регулируется земельным и градостроительным законодательством. Порядок действий зависит от типа ВРИ, который хочет установить собственник, а также от особенностей территории, на которой расположен земельный участок.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Для изменения вида разрешённого использования земельного участка необходимо ознакомиться с правилами землепользования и застройки муниципалитета (ПЗЗ), которые содержат перечень допустимых ВРИ для каждой зоны.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right="0"/>
        <w:rPr>
          <w:rFonts w:ascii="Tinos" w:hAnsi="Tinos"/>
          <w:color w:val="auto"/>
          <w:kern w:val="0"/>
        </w:rPr>
      </w:pPr>
      <w:r>
        <w:rPr>
          <w:rFonts w:ascii="Tinos" w:hAnsi="Tinos"/>
          <w:color w:val="auto"/>
          <w:kern w:val="0"/>
        </w:rPr>
        <w:t>Для ознакомления с ПЗЗ можно обратиться к цифровой платформе «Национальная система пространственных данных», на сайт местной администрации или заказать выписку из ЕГРН о территориальной зоне.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 xml:space="preserve">После того как определена территориальная зона, в которой расположен земельный участок, выбирается желаемый вид разрешённого использования из предложенного перечня. 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Начальник межмуниципального отдела по городу Покачи и городу Лангепас Управления Росреестра по ХМАО — Югре Артём Янц пояснил: «Необходимо учитывать, что любой основной или вспомогательный вид разрешённого использования из предусмотренных градостроительным зонированием территорий выбирается собственником земельного участка самостоятельно, для установления условно-разрешённого вида разрешённого использования земельного участка необходимо получить разрешение органа местного самоуправления. Вспомогательный вид разрешённого использования может быть выбран только дополнительно к основному и условно разрешённому. При этом внесение в ЕГРН сведений о вспомогательных видах разрешённого использования земельного участка не требуется».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Для внесения изменения в ЕГРН необходимо подать: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заявление о государственном кадастровом учёте (с точным указанием ВРИ из ПЗЗ);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документ, удостоверяющий личность;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доверенность (если действует представитель).</w:t>
      </w:r>
    </w:p>
    <w:p>
      <w:pPr>
        <w:pStyle w:val="BodyText"/>
        <w:numPr>
          <w:ilvl w:val="0"/>
          <w:numId w:val="0"/>
        </w:numPr>
        <w:ind w:hanging="0" w:left="3" w:right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Заявление в орган регистрации прав можно подать следующими способами: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в бумажном виде при личном визите в МФЦ;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в электронном виде через личный кабинет на официальном сайте Росреестра или на портале Госуслуг;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с помощью выездного приёма заявлений, осуществляемого публично-правовой компанией «Роскадастр».</w:t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</w:r>
    </w:p>
    <w:p>
      <w:pPr>
        <w:pStyle w:val="BodyText"/>
        <w:rPr>
          <w:rFonts w:ascii="Tinos" w:hAnsi="Tinos"/>
        </w:rPr>
      </w:pPr>
      <w:r>
        <w:rPr>
          <w:rFonts w:ascii="Tinos" w:hAnsi="Tinos"/>
        </w:rPr>
        <w:t>Размер госпошлины: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для физических лиц — 1 000 руб.;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0" w:left="3" w:right="0"/>
        <w:rPr>
          <w:rFonts w:ascii="Tinos" w:hAnsi="Tinos"/>
        </w:rPr>
      </w:pPr>
      <w:r>
        <w:rPr>
          <w:rFonts w:ascii="Tinos" w:hAnsi="Tinos"/>
        </w:rPr>
        <w:t>для юридических лиц — 2 000 руб.</w:t>
      </w:r>
    </w:p>
    <w:p>
      <w:pPr>
        <w:pStyle w:val="BodyTex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2A5885"/>
          <w:spacing w:val="0"/>
          <w:sz w:val="21"/>
          <w:u w:val="none"/>
          <w:effect w:val="none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strike w:val="false"/>
          <w:dstrike w:val="false"/>
          <w:color w:val="2A5885"/>
          <w:spacing w:val="0"/>
          <w:sz w:val="21"/>
          <w:u w:val="none"/>
          <w:effect w:val="none"/>
        </w:rPr>
      </w:r>
    </w:p>
    <w:sectPr>
      <w:type w:val="nextPage"/>
      <w:pgSz w:w="11906" w:h="16838"/>
      <w:pgMar w:left="1700" w:right="850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apple-system">
    <w:altName w:val="BlinkMacSystemFont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567" w:left="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LibreOffice/25.2.6.2$Linux_X86_64 LibreOffice_project/520$Build-2</Application>
  <AppVersion>15.0000</AppVersion>
  <Pages>1</Pages>
  <Words>276</Words>
  <Characters>2007</Characters>
  <CharactersWithSpaces>2264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2026-03-05T10:30:43Z</dcterms:created>
  <dc:creator>Приемная</dc:creator>
  <dc:description/>
  <dc:language>ru-RU</dc:language>
  <cp:lastModifiedBy>Наталья Сергеевна Глуховская</cp:lastModifiedBy>
  <dcterms:modified xsi:type="dcterms:W3CDTF">2026-03-18T11:51:11Z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roducer">
    <vt:lpwstr>LibreOffice 25.2.3.2 (X86_64) / LibreOffice Community</vt:lpwstr>
  </property>
</Properties>
</file>