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 w:bidi="ar-SA"/>
        </w:rPr>
        <w:t xml:space="preserve">Отдел государственного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 w:bidi="ar-SA"/>
        </w:rPr>
        <w:t xml:space="preserve">контроля, надзора, охраны водных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 w:bidi="ar-SA"/>
        </w:rPr>
        <w:t xml:space="preserve">биологических ресурсов и среды их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 w:bidi="ar-SA"/>
        </w:rPr>
        <w:t xml:space="preserve">обитания по Ханты-Мансийскому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 w:bidi="ar-SA"/>
        </w:rPr>
        <w:t xml:space="preserve">автономному округу – Югре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 w:bidi="ar-SA"/>
        </w:rPr>
        <w:t xml:space="preserve">Нижнеобского</w:t>
      </w:r>
      <w:r>
        <w:rPr>
          <w:rFonts w:ascii="Times New Roman" w:hAnsi="Times New Roman" w:cs="Times New Roman" w:eastAsiaTheme="minorHAnsi"/>
          <w:sz w:val="28"/>
          <w:szCs w:val="28"/>
          <w:lang w:eastAsia="en-US" w:bidi="ar-SA"/>
        </w:rPr>
        <w:t xml:space="preserve"> территориального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 w:bidi="ar-SA"/>
        </w:rPr>
        <w:t xml:space="preserve">управления Федерального агентства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 w:bidi="ar-SA"/>
        </w:rPr>
        <w:t xml:space="preserve">по рыболовству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NewRomanPSMT" w:hAnsi="TimesNewRomanPSMT" w:cs="TimesNewRomanPSMT" w:eastAsiaTheme="minorHAnsi"/>
          <w:sz w:val="28"/>
          <w:szCs w:val="28"/>
          <w:lang w:eastAsia="en-US" w:bidi="ar-SA"/>
        </w:rPr>
      </w:pPr>
      <w:r>
        <w:rPr>
          <w:rFonts w:ascii="TimesNewRomanPSMT" w:hAnsi="TimesNewRomanPSMT" w:cs="TimesNewRomanPSMT" w:eastAsiaTheme="minorHAnsi"/>
          <w:sz w:val="28"/>
          <w:szCs w:val="28"/>
          <w:lang w:eastAsia="en-US" w:bidi="ar-SA"/>
        </w:rPr>
      </w:r>
      <w:r>
        <w:rPr>
          <w:rFonts w:ascii="TimesNewRomanPSMT" w:hAnsi="TimesNewRomanPSMT" w:cs="TimesNewRomanPSMT" w:eastAsiaTheme="minorHAnsi"/>
          <w:sz w:val="28"/>
          <w:szCs w:val="28"/>
          <w:lang w:eastAsia="en-US" w:bidi="ar-SA"/>
        </w:rPr>
      </w:r>
    </w:p>
    <w:p>
      <w:pPr>
        <w:jc w:val="right"/>
        <w:tabs>
          <w:tab w:val="left" w:pos="3974" w:leader="none"/>
        </w:tabs>
        <w:rPr>
          <w:rFonts w:ascii="TimesNewRomanPSMT" w:hAnsi="TimesNewRomanPSMT" w:cs="TimesNewRomanPSMT" w:eastAsiaTheme="minorHAnsi"/>
          <w:sz w:val="28"/>
          <w:szCs w:val="28"/>
          <w:lang w:eastAsia="en-US" w:bidi="ar-SA"/>
        </w:rPr>
      </w:pPr>
      <w:r>
        <w:rPr>
          <w:rFonts w:ascii="TimesNewRomanPSMT" w:hAnsi="TimesNewRomanPSMT" w:cs="TimesNewRomanPSMT" w:eastAsiaTheme="minorHAnsi"/>
          <w:sz w:val="28"/>
          <w:szCs w:val="28"/>
          <w:lang w:eastAsia="en-US" w:bidi="ar-SA"/>
        </w:rPr>
      </w:r>
      <w:r>
        <w:rPr>
          <w:rFonts w:ascii="TimesNewRomanPSMT" w:hAnsi="TimesNewRomanPSMT" w:cs="TimesNewRomanPSMT" w:eastAsiaTheme="minorHAnsi"/>
          <w:sz w:val="28"/>
          <w:szCs w:val="28"/>
          <w:lang w:eastAsia="en-US" w:bidi="ar-SA"/>
        </w:rPr>
      </w:r>
    </w:p>
    <w:p>
      <w:pPr>
        <w:jc w:val="right"/>
        <w:tabs>
          <w:tab w:val="left" w:pos="3974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Ханты-Мансийск, ул. Гагарина, д. 186</w:t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right"/>
        <w:tabs>
          <w:tab w:val="left" w:pos="3974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eastAsia="Times New Roman" w:cs="Times New Roman"/>
          <w:lang w:eastAsia="ru-RU" w:bidi="ar-SA"/>
        </w:rPr>
      </w:pPr>
      <w:r/>
      <w:hyperlink r:id="rId8" w:tooltip="mailto:goscontrol86@noturfish.ru" w:history="1">
        <w:r>
          <w:rPr>
            <w:rFonts w:ascii="Times New Roman" w:hAnsi="Times New Roman" w:eastAsia="Times New Roman" w:cs="Times New Roman"/>
            <w:sz w:val="28"/>
            <w:szCs w:val="28"/>
            <w:lang w:eastAsia="ru-RU" w:bidi="hi-IN"/>
          </w:rPr>
          <w:t xml:space="preserve">goscontrol86@</w:t>
        </w:r>
        <w:r>
          <w:rPr>
            <w:rFonts w:ascii="Times New Roman" w:hAnsi="Times New Roman" w:eastAsia="Times New Roman" w:cs="Times New Roman"/>
            <w:sz w:val="28"/>
            <w:szCs w:val="28"/>
            <w:lang w:val="en-US"/>
          </w:rPr>
          <w:t xml:space="preserve">tmn.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 w:bidi="hi-IN"/>
          </w:rPr>
          <w:t xml:space="preserve">f</w:t>
        </w:r>
        <w:r>
          <w:rPr>
            <w:rFonts w:ascii="Times New Roman" w:hAnsi="Times New Roman" w:eastAsia="Times New Roman" w:cs="Times New Roman"/>
            <w:sz w:val="28"/>
            <w:szCs w:val="28"/>
            <w:lang w:val="en-US"/>
          </w:rPr>
          <w:t xml:space="preserve">i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 w:bidi="hi-IN"/>
          </w:rPr>
          <w:t xml:space="preserve">sh.</w:t>
        </w:r>
        <w:r>
          <w:rPr>
            <w:rFonts w:ascii="Times New Roman" w:hAnsi="Times New Roman" w:eastAsia="Times New Roman" w:cs="Times New Roman"/>
            <w:sz w:val="28"/>
            <w:szCs w:val="28"/>
            <w:lang w:val="en-US"/>
          </w:rPr>
          <w:t xml:space="preserve">gov.</w:t>
        </w:r>
        <w:r>
          <w:rPr>
            <w:rFonts w:ascii="Times New Roman" w:hAnsi="Times New Roman" w:eastAsia="Times New Roman" w:cs="Times New Roman"/>
            <w:sz w:val="28"/>
            <w:szCs w:val="28"/>
            <w:lang w:eastAsia="ru-RU" w:bidi="hi-IN"/>
          </w:rPr>
          <w:t xml:space="preserve">ru</w:t>
        </w:r>
      </w:hyperlink>
      <w:r/>
      <w:r>
        <w:rPr>
          <w:rFonts w:ascii="Times New Roman" w:hAnsi="Times New Roman" w:eastAsia="Times New Roman" w:cs="Times New Roman"/>
          <w:lang w:eastAsia="ru-RU" w:bidi="ar-SA"/>
        </w:rPr>
      </w:r>
    </w:p>
    <w:p>
      <w:pPr>
        <w:jc w:val="center"/>
        <w:tabs>
          <w:tab w:val="left" w:pos="3974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tabs>
          <w:tab w:val="left" w:pos="3974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Отчет</w:t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tabs>
          <w:tab w:val="left" w:pos="397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</w:rPr>
        <w:t xml:space="preserve">о добыче (вылове) водных биоресурсов при </w:t>
      </w:r>
      <w:r>
        <w:rPr>
          <w:rFonts w:ascii="Times New Roman" w:hAnsi="Times New Roman"/>
          <w:sz w:val="28"/>
          <w:szCs w:val="28"/>
        </w:rPr>
        <w:t xml:space="preserve">осуществлении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 на территории Ханты-Мансийского автономного округа – Югры за 2025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 год.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tabs>
          <w:tab w:val="left" w:pos="3974" w:leader="none"/>
        </w:tabs>
      </w:pPr>
      <w:r>
        <w:rPr>
          <w:rFonts w:ascii="Times New Roman" w:hAnsi="Times New Roman"/>
          <w:sz w:val="28"/>
          <w:szCs w:val="28"/>
          <w:highlight w:val="none"/>
        </w:rPr>
        <w:t xml:space="preserve">_____________________________________________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center"/>
        <w:tabs>
          <w:tab w:val="left" w:pos="397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(ФИО, (для </w:t>
      </w:r>
      <w:r>
        <w:rPr>
          <w:rFonts w:ascii="Times New Roman" w:hAnsi="Times New Roman"/>
        </w:rPr>
        <w:t xml:space="preserve">граждан)/</w:t>
      </w:r>
      <w:r>
        <w:rPr>
          <w:rFonts w:ascii="Times New Roman" w:hAnsi="Times New Roman"/>
        </w:rPr>
        <w:t xml:space="preserve">Наименование Общины)</w:t>
      </w:r>
      <w:r>
        <w:rPr>
          <w:rFonts w:ascii="Times New Roman" w:hAnsi="Times New Roman"/>
        </w:rPr>
      </w:r>
    </w:p>
    <w:tbl>
      <w:tblPr>
        <w:tblW w:w="9120" w:type="dxa"/>
        <w:tblInd w:w="84" w:type="dxa"/>
        <w:tblLook w:val="04A0" w:firstRow="1" w:lastRow="0" w:firstColumn="1" w:lastColumn="0" w:noHBand="0" w:noVBand="1"/>
      </w:tblPr>
      <w:tblGrid>
        <w:gridCol w:w="1754"/>
        <w:gridCol w:w="1981"/>
        <w:gridCol w:w="1560"/>
        <w:gridCol w:w="1845"/>
        <w:gridCol w:w="198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textDirection w:val="lrTb"/>
            <w:noWrap w:val="false"/>
          </w:tcPr>
          <w:p>
            <w:pPr>
              <w:jc w:val="center"/>
              <w:tabs>
                <w:tab w:val="left" w:pos="3974" w:leader="none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Вид водного биоресурса</w: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jc w:val="center"/>
              <w:tabs>
                <w:tab w:val="left" w:pos="3974" w:leader="none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Место (район/подрайон) добычи (вылова) водных биоресурсов</w: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3974" w:leader="none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Орудия, способы добычи (вылова) водных биоресурсов</w: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pPr>
              <w:jc w:val="center"/>
              <w:tabs>
                <w:tab w:val="left" w:pos="3974" w:leader="none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Представленный объем добычи (вылова) водного биоресурса, тонн/шт.</w: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center"/>
              <w:tabs>
                <w:tab w:val="left" w:pos="3974" w:leader="none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Вылов с начала года, тонн/шт.</w: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textDirection w:val="lrTb"/>
            <w:noWrap w:val="false"/>
          </w:tcPr>
          <w:p>
            <w:pPr>
              <w:jc w:val="both"/>
              <w:tabs>
                <w:tab w:val="left" w:pos="3974" w:leader="none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налим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3974" w:leader="none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3974" w:leader="none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jc w:val="center"/>
              <w:tabs>
                <w:tab w:val="left" w:pos="3974" w:leader="none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район,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3974" w:leader="none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jc w:val="center"/>
              <w:tabs>
                <w:tab w:val="left" w:pos="3974" w:leader="none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водный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jc w:val="center"/>
              <w:tabs>
                <w:tab w:val="left" w:pos="3974" w:leader="none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объект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3974" w:leader="none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textDirection w:val="lrTb"/>
            <w:noWrap w:val="false"/>
          </w:tcPr>
          <w:p>
            <w:pPr>
              <w:jc w:val="both"/>
              <w:tabs>
                <w:tab w:val="left" w:pos="3974" w:leader="none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щука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textDirection w:val="lrTb"/>
            <w:noWrap w:val="false"/>
          </w:tcPr>
          <w:p>
            <w:pPr>
              <w:jc w:val="both"/>
              <w:tabs>
                <w:tab w:val="left" w:pos="3974" w:leader="none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язь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textDirection w:val="lrTb"/>
            <w:noWrap w:val="false"/>
          </w:tcPr>
          <w:p>
            <w:pPr>
              <w:jc w:val="both"/>
              <w:tabs>
                <w:tab w:val="left" w:pos="3974" w:leader="none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лещ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textDirection w:val="lrTb"/>
            <w:noWrap w:val="false"/>
          </w:tcPr>
          <w:p>
            <w:pPr>
              <w:jc w:val="both"/>
              <w:tabs>
                <w:tab w:val="left" w:pos="3974" w:leader="none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карась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textDirection w:val="lrTb"/>
            <w:noWrap w:val="false"/>
          </w:tcPr>
          <w:p>
            <w:pPr>
              <w:jc w:val="both"/>
              <w:tabs>
                <w:tab w:val="left" w:pos="3974" w:leader="none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окунь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textDirection w:val="lrTb"/>
            <w:noWrap w:val="false"/>
          </w:tcPr>
          <w:p>
            <w:pPr>
              <w:jc w:val="both"/>
              <w:tabs>
                <w:tab w:val="left" w:pos="3974" w:leader="none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плотва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textDirection w:val="lrTb"/>
            <w:noWrap w:val="false"/>
          </w:tcPr>
          <w:p>
            <w:pPr>
              <w:jc w:val="both"/>
              <w:tabs>
                <w:tab w:val="left" w:pos="3974" w:leader="none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пелядь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textDirection w:val="lrTb"/>
            <w:noWrap w:val="false"/>
          </w:tcPr>
          <w:p>
            <w:pPr>
              <w:jc w:val="both"/>
              <w:tabs>
                <w:tab w:val="left" w:pos="3974" w:leader="none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чир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textDirection w:val="lrTb"/>
            <w:noWrap w:val="false"/>
          </w:tcPr>
          <w:p>
            <w:pPr>
              <w:jc w:val="both"/>
              <w:tabs>
                <w:tab w:val="left" w:pos="3974" w:leader="none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тугун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textDirection w:val="lrTb"/>
            <w:noWrap w:val="false"/>
          </w:tcPr>
          <w:p>
            <w:pPr>
              <w:jc w:val="both"/>
              <w:tabs>
                <w:tab w:val="left" w:pos="3974" w:leader="none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pPr>
              <w:jc w:val="both"/>
              <w:tabs>
                <w:tab w:val="left" w:pos="3974" w:leader="none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tabs>
                <w:tab w:val="left" w:pos="3974" w:leader="none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blPrEx/>
        <w:trPr>
          <w:trHeight w:val="3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4" w:type="dxa"/>
            <w:textDirection w:val="lrTb"/>
            <w:noWrap w:val="false"/>
          </w:tcPr>
          <w:p>
            <w:pPr>
              <w:jc w:val="both"/>
              <w:tabs>
                <w:tab w:val="left" w:pos="3974" w:leader="none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5" w:type="dxa"/>
            <w:textDirection w:val="lrTb"/>
            <w:noWrap w:val="false"/>
          </w:tcPr>
          <w:p>
            <w:pPr>
              <w:jc w:val="both"/>
              <w:tabs>
                <w:tab w:val="left" w:pos="3974" w:leader="none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0" w:type="dxa"/>
            <w:textDirection w:val="lrTb"/>
            <w:noWrap w:val="false"/>
          </w:tcPr>
          <w:p>
            <w:pPr>
              <w:jc w:val="both"/>
              <w:tabs>
                <w:tab w:val="left" w:pos="3974" w:leader="none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</w:tbl>
    <w:p>
      <w:pPr>
        <w:jc w:val="right"/>
        <w:tabs>
          <w:tab w:val="left" w:pos="3974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right"/>
        <w:tabs>
          <w:tab w:val="left" w:pos="3974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Дата , </w:t>
      </w:r>
      <w:r>
        <w:rPr>
          <w:rFonts w:ascii="Times New Roman" w:hAnsi="Times New Roman"/>
          <w:bCs/>
          <w:sz w:val="28"/>
          <w:szCs w:val="28"/>
        </w:rPr>
        <w:t xml:space="preserve">подпись:_</w:t>
      </w:r>
      <w:r>
        <w:rPr>
          <w:rFonts w:ascii="Times New Roman" w:hAnsi="Times New Roman"/>
          <w:bCs/>
          <w:sz w:val="28"/>
          <w:szCs w:val="28"/>
        </w:rPr>
        <w:t xml:space="preserve">_________________</w:t>
      </w:r>
      <w:r>
        <w:rPr>
          <w:rFonts w:ascii="Times New Roman" w:hAnsi="Times New Roman"/>
          <w:bCs/>
          <w:sz w:val="28"/>
          <w:szCs w:val="28"/>
        </w:rPr>
      </w:r>
    </w:p>
    <w:p>
      <w:pPr>
        <w:tabs>
          <w:tab w:val="left" w:pos="3974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М.П. (для общин)</w:t>
      </w:r>
      <w:r>
        <w:rPr>
          <w:rFonts w:ascii="Times New Roman" w:hAnsi="Times New Roman"/>
          <w:bCs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Times New Roman">
    <w:panose1 w:val="02020603050405020304"/>
  </w:font>
  <w:font w:name="Mangal">
    <w:panose1 w:val="02040503050406030204"/>
  </w:font>
  <w:font w:name="Segoe UI">
    <w:panose1 w:val="020B0502040204020203"/>
  </w:font>
  <w:font w:name="Liberation Serif">
    <w:panose1 w:val="020206030504050203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Liberation Serif" w:hAnsi="Liberation Serif" w:eastAsia="NSimSun" w:cs="Arial"/>
      <w:sz w:val="24"/>
      <w:szCs w:val="24"/>
      <w:lang w:eastAsia="zh-CN" w:bidi="hi-IN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eastAsia="NSimSun" w:cs="Mangal"/>
      <w:sz w:val="18"/>
      <w:szCs w:val="16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goscontrol86@noturfish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Гындышева Светлана Кирилловна</dc:creator>
  <cp:keywords/>
  <dc:description/>
  <cp:lastModifiedBy>GyndyshevaSK</cp:lastModifiedBy>
  <cp:revision>17</cp:revision>
  <dcterms:created xsi:type="dcterms:W3CDTF">2020-12-26T09:42:00Z</dcterms:created>
  <dcterms:modified xsi:type="dcterms:W3CDTF">2025-07-23T05:06:10Z</dcterms:modified>
</cp:coreProperties>
</file>