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81" w:rsidRPr="003B3B84" w:rsidRDefault="004F081E" w:rsidP="003B3B84">
      <w:pPr>
        <w:rPr>
          <w:b/>
          <w:color w:val="FF0000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541A" wp14:editId="59DB53FE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4E321C5A" wp14:editId="737683CE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BE9" w:rsidRPr="008609E3" w:rsidRDefault="002A1BE9" w:rsidP="003B3B84">
      <w:pPr>
        <w:ind w:firstLine="708"/>
        <w:jc w:val="center"/>
        <w:rPr>
          <w:rFonts w:ascii="Trebuchet MS" w:hAnsi="Trebuchet MS"/>
          <w:b/>
          <w:color w:val="0070C0"/>
          <w:szCs w:val="44"/>
        </w:rPr>
      </w:pPr>
    </w:p>
    <w:p w:rsidR="001C0582" w:rsidRPr="00AC0AE1" w:rsidRDefault="001C0582" w:rsidP="001C0582">
      <w:pPr>
        <w:ind w:firstLine="708"/>
        <w:jc w:val="center"/>
        <w:rPr>
          <w:rFonts w:ascii="Trebuchet MS" w:hAnsi="Trebuchet MS"/>
          <w:b/>
          <w:color w:val="0070C0"/>
          <w:sz w:val="44"/>
          <w:szCs w:val="42"/>
        </w:rPr>
      </w:pPr>
      <w:bookmarkStart w:id="0" w:name="_GoBack"/>
      <w:r w:rsidRPr="00AC0AE1">
        <w:rPr>
          <w:rFonts w:ascii="Trebuchet MS" w:hAnsi="Trebuchet MS"/>
          <w:b/>
          <w:color w:val="0070C0"/>
          <w:sz w:val="44"/>
          <w:szCs w:val="42"/>
        </w:rPr>
        <w:t xml:space="preserve">О предоставлении уведомлений об исполнении обязанностей </w:t>
      </w:r>
    </w:p>
    <w:p w:rsidR="003B3B84" w:rsidRPr="00AC0AE1" w:rsidRDefault="001C0582" w:rsidP="001C0582">
      <w:pPr>
        <w:ind w:firstLine="708"/>
        <w:jc w:val="center"/>
        <w:rPr>
          <w:rFonts w:ascii="Trebuchet MS" w:hAnsi="Trebuchet MS"/>
          <w:sz w:val="28"/>
          <w:szCs w:val="30"/>
        </w:rPr>
      </w:pPr>
      <w:r w:rsidRPr="00AC0AE1">
        <w:rPr>
          <w:rFonts w:ascii="Trebuchet MS" w:hAnsi="Trebuchet MS"/>
          <w:b/>
          <w:color w:val="0070C0"/>
          <w:sz w:val="44"/>
          <w:szCs w:val="42"/>
        </w:rPr>
        <w:t>налогоплательщика НДД</w:t>
      </w:r>
    </w:p>
    <w:p w:rsidR="001C0582" w:rsidRDefault="001C058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</w:p>
    <w:bookmarkEnd w:id="0"/>
    <w:p w:rsidR="001C0582" w:rsidRPr="001C0582" w:rsidRDefault="00D34EEC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proofErr w:type="gramStart"/>
      <w:r w:rsidRPr="001C0582">
        <w:rPr>
          <w:rFonts w:ascii="Trebuchet MS" w:hAnsi="Trebuchet MS"/>
          <w:sz w:val="32"/>
          <w:szCs w:val="32"/>
        </w:rPr>
        <w:t>Межрайонная ИФНС России № 6 по Ханты-Мансийскому автономному округу – Югре</w:t>
      </w:r>
      <w:r w:rsidR="007430E2" w:rsidRPr="001C0582">
        <w:rPr>
          <w:rFonts w:ascii="Trebuchet MS" w:hAnsi="Trebuchet MS"/>
          <w:sz w:val="32"/>
          <w:szCs w:val="32"/>
        </w:rPr>
        <w:t xml:space="preserve"> </w:t>
      </w:r>
      <w:r w:rsidR="001C0582" w:rsidRPr="001C0582">
        <w:rPr>
          <w:rFonts w:ascii="Trebuchet MS" w:hAnsi="Trebuchet MS"/>
          <w:sz w:val="32"/>
          <w:szCs w:val="32"/>
        </w:rPr>
        <w:t>по вопросу учета расходов в случае начала применения налога на дополнительный доход от добычи углеводородного сырья (далее – НДД) в результате подачи уведомления о реализации организацией права на исполнение обязанностей налогоплательщика по НДД, с учетом письма Минфина России от 22.12.2020 № 03-06-05-01/112592 сообщает следующее.</w:t>
      </w:r>
      <w:proofErr w:type="gramEnd"/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proofErr w:type="gramStart"/>
      <w:r w:rsidRPr="001C0582">
        <w:rPr>
          <w:rFonts w:ascii="Trebuchet MS" w:hAnsi="Trebuchet MS"/>
          <w:sz w:val="32"/>
          <w:szCs w:val="32"/>
        </w:rPr>
        <w:t>Согласно ранее направленной позиции Минфина России от 22.12.2020 № 03-06-05-01/112592 в случае подачи организацией уведомления в отношении конкретного участка недр, указанного в абзаце первым подпункта 2 пункта 1 статьи 333.45 Налогового кодекса Российской Федерации (далее – Кодекс), в срок до 31 декабря 2021 года, организация вправе начать применять НДД в отношении такого участка недр с 1-го числа квартала, в котором организацией</w:t>
      </w:r>
      <w:proofErr w:type="gramEnd"/>
      <w:r w:rsidRPr="001C0582">
        <w:rPr>
          <w:rFonts w:ascii="Trebuchet MS" w:hAnsi="Trebuchet MS"/>
          <w:sz w:val="32"/>
          <w:szCs w:val="32"/>
        </w:rPr>
        <w:t xml:space="preserve"> представлено соответствующее уведомление, в случае указания в нем информации о реализации ею такого права начиная с указанной даты.</w:t>
      </w:r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r w:rsidRPr="001C0582">
        <w:rPr>
          <w:rFonts w:ascii="Trebuchet MS" w:hAnsi="Trebuchet MS"/>
          <w:sz w:val="32"/>
          <w:szCs w:val="32"/>
        </w:rPr>
        <w:t>При этом до 1-го числа квартала года, в котором организацией представлено соответствующее уведомление, организация не признается налогоплательщиком и не исполняет обязанности налогоплательщика в отношении такого участка недр.</w:t>
      </w:r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proofErr w:type="gramStart"/>
      <w:r w:rsidRPr="001C0582">
        <w:rPr>
          <w:rFonts w:ascii="Trebuchet MS" w:hAnsi="Trebuchet MS"/>
          <w:sz w:val="32"/>
          <w:szCs w:val="32"/>
        </w:rPr>
        <w:t>В случае предоставления уведомления организацией в срок, предусмотренный, в частности, абзацем вторым подпункта 2 пункта 1 статьи 333.45 Кодекса, в котором не указана информация о дате начала применения НДД в отношении конкретного участка недр, организация применяет НДД в отношении такого участка недр с 1-го числа квартала, следующего за кварталом, в котором применительно к такому участку недр организацией представлено уведомление.</w:t>
      </w:r>
      <w:proofErr w:type="gramEnd"/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r w:rsidRPr="001C0582">
        <w:rPr>
          <w:rFonts w:ascii="Trebuchet MS" w:hAnsi="Trebuchet MS"/>
          <w:sz w:val="32"/>
          <w:szCs w:val="32"/>
        </w:rPr>
        <w:t>При этом до 1-го числа, следующего за кварталом, в котором применительно к такому участку недр организацией представлено соответствующее уведомление, организация освобождается от исполнения обязанностей налогоплательщика по НДД.</w:t>
      </w:r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proofErr w:type="gramStart"/>
      <w:r w:rsidRPr="001C0582">
        <w:rPr>
          <w:rFonts w:ascii="Trebuchet MS" w:hAnsi="Trebuchet MS"/>
          <w:sz w:val="32"/>
          <w:szCs w:val="32"/>
        </w:rPr>
        <w:lastRenderedPageBreak/>
        <w:t>Согласно статье 333.52 Кодекса историческим убытком признается отрицательный расчетный финансовый результат, определенный для календарного года, за период с 1 января 2011 года (для участков недр, указанных в подпункте 4 пункта 1 статьи 333.45 Кодекса или расположенных полностью или частично в</w:t>
      </w:r>
      <w:proofErr w:type="gramEnd"/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proofErr w:type="gramStart"/>
      <w:r w:rsidRPr="001C0582">
        <w:rPr>
          <w:rFonts w:ascii="Trebuchet MS" w:hAnsi="Trebuchet MS"/>
          <w:sz w:val="32"/>
          <w:szCs w:val="32"/>
        </w:rPr>
        <w:t xml:space="preserve">Федеральная налоговая служба </w:t>
      </w:r>
      <w:r w:rsidRPr="001C0582">
        <w:rPr>
          <w:rFonts w:ascii="Trebuchet MS" w:hAnsi="Trebuchet MS"/>
          <w:sz w:val="32"/>
          <w:szCs w:val="32"/>
        </w:rPr>
        <w:t>пределах российской части (российского сектора) дна Каспийского моря, - с 1 января 2007 года) и по год (включительно), непосредственно предшествующий году начала исчисления НДД в отношении таких участков недр (далее - ретроспективный период).</w:t>
      </w:r>
      <w:proofErr w:type="gramEnd"/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r w:rsidRPr="001C0582">
        <w:rPr>
          <w:rFonts w:ascii="Trebuchet MS" w:hAnsi="Trebuchet MS"/>
          <w:sz w:val="32"/>
          <w:szCs w:val="32"/>
        </w:rPr>
        <w:t xml:space="preserve">Таким образом, учитывая, что согласно статье 333.53 Кодекса налоговым периодом НДД признается календарный год, в случае подачи организацией уведомления в соответствии с абзацем вторым подпункта 2 пункта 1 статьи 333.45 Кодекса, год окончания ретроспективного периода </w:t>
      </w:r>
      <w:proofErr w:type="gramStart"/>
      <w:r w:rsidRPr="001C0582">
        <w:rPr>
          <w:rFonts w:ascii="Trebuchet MS" w:hAnsi="Trebuchet MS"/>
          <w:sz w:val="32"/>
          <w:szCs w:val="32"/>
        </w:rPr>
        <w:t>будет</w:t>
      </w:r>
      <w:proofErr w:type="gramEnd"/>
      <w:r w:rsidRPr="001C0582">
        <w:rPr>
          <w:rFonts w:ascii="Trebuchet MS" w:hAnsi="Trebuchet MS"/>
          <w:sz w:val="32"/>
          <w:szCs w:val="32"/>
        </w:rPr>
        <w:t xml:space="preserve"> является календарный год, предшествующий году начала исчисления НДД в отношении таких участков недр.</w:t>
      </w:r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r w:rsidRPr="001C0582">
        <w:rPr>
          <w:rFonts w:ascii="Trebuchet MS" w:hAnsi="Trebuchet MS"/>
          <w:sz w:val="32"/>
          <w:szCs w:val="32"/>
        </w:rPr>
        <w:t>Дополнительно в части начала применения НДД для организаций в отношении участков недр, указанных в абзацах втором и третьем подпункта 3 пункта 1 статьи 333.45 Кодекса, отмечаем следующее.</w:t>
      </w:r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r w:rsidRPr="001C0582">
        <w:rPr>
          <w:rFonts w:ascii="Trebuchet MS" w:hAnsi="Trebuchet MS"/>
          <w:sz w:val="32"/>
          <w:szCs w:val="32"/>
        </w:rPr>
        <w:t xml:space="preserve">Федеральным закон от 15.10.2020 № 342-ФЗ «О внесении изменений в главы 25.4 и 26 части второй Налогового кодекса Российской Федерации» внесено ряд изменений, </w:t>
      </w:r>
      <w:proofErr w:type="gramStart"/>
      <w:r w:rsidRPr="001C0582">
        <w:rPr>
          <w:rFonts w:ascii="Trebuchet MS" w:hAnsi="Trebuchet MS"/>
          <w:sz w:val="32"/>
          <w:szCs w:val="32"/>
        </w:rPr>
        <w:t>предусматривающих</w:t>
      </w:r>
      <w:proofErr w:type="gramEnd"/>
      <w:r w:rsidRPr="001C0582">
        <w:rPr>
          <w:rFonts w:ascii="Trebuchet MS" w:hAnsi="Trebuchet MS"/>
          <w:sz w:val="32"/>
          <w:szCs w:val="32"/>
        </w:rPr>
        <w:t xml:space="preserve"> в том числе применение с 1 января 2021 года НДД, для участков недр имеющих высокую историческую степень </w:t>
      </w:r>
      <w:proofErr w:type="spellStart"/>
      <w:r w:rsidRPr="001C0582">
        <w:rPr>
          <w:rFonts w:ascii="Trebuchet MS" w:hAnsi="Trebuchet MS"/>
          <w:sz w:val="32"/>
          <w:szCs w:val="32"/>
        </w:rPr>
        <w:t>выработанности</w:t>
      </w:r>
      <w:proofErr w:type="spellEnd"/>
      <w:r w:rsidRPr="001C0582">
        <w:rPr>
          <w:rFonts w:ascii="Trebuchet MS" w:hAnsi="Trebuchet MS"/>
          <w:sz w:val="32"/>
          <w:szCs w:val="32"/>
        </w:rPr>
        <w:t xml:space="preserve"> запасов нефти, а также для участков недр расположенных полностью или частично в границах Северо-Кавказского федерального округа, Сахалинской области (за исключением морских месторождений углеводородного сырья, а также месторождений, частично расположенных в границах внутренних морских вод и (или) территориального моря Российской Федерации).</w:t>
      </w:r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proofErr w:type="gramStart"/>
      <w:r w:rsidRPr="001C0582">
        <w:rPr>
          <w:rFonts w:ascii="Trebuchet MS" w:hAnsi="Trebuchet MS"/>
          <w:sz w:val="32"/>
          <w:szCs w:val="32"/>
        </w:rPr>
        <w:t xml:space="preserve">В соответствии с абзацами вторым и третьем подпункта 3 пункта 1 статьи 333.45 Кодекса, объектом налогообложения НДД признается дополнительный доход от добычи углеводородного сырья на участке недр, имеющим историческую степень </w:t>
      </w:r>
      <w:proofErr w:type="spellStart"/>
      <w:r w:rsidRPr="001C0582">
        <w:rPr>
          <w:rFonts w:ascii="Trebuchet MS" w:hAnsi="Trebuchet MS"/>
          <w:sz w:val="32"/>
          <w:szCs w:val="32"/>
        </w:rPr>
        <w:t>выработанности</w:t>
      </w:r>
      <w:proofErr w:type="spellEnd"/>
      <w:r w:rsidRPr="001C0582">
        <w:rPr>
          <w:rFonts w:ascii="Trebuchet MS" w:hAnsi="Trebuchet MS"/>
          <w:sz w:val="32"/>
          <w:szCs w:val="32"/>
        </w:rPr>
        <w:t xml:space="preserve"> запасов нефти (СИВЗ) больше 0,8 или равную 0,8, или расположенном полностью или частично в границах Северо-Кавказского федерального округа, Сахалинской области (за исключением морских месторождений углеводородного сырья, а также месторождений</w:t>
      </w:r>
      <w:proofErr w:type="gramEnd"/>
      <w:r w:rsidRPr="001C0582">
        <w:rPr>
          <w:rFonts w:ascii="Trebuchet MS" w:hAnsi="Trebuchet MS"/>
          <w:sz w:val="32"/>
          <w:szCs w:val="32"/>
        </w:rPr>
        <w:t>, частично расположенных в границах внутренних морских вод и (или) территориального моря Российской Федерации).</w:t>
      </w:r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proofErr w:type="gramStart"/>
      <w:r w:rsidRPr="001C0582">
        <w:rPr>
          <w:rFonts w:ascii="Trebuchet MS" w:hAnsi="Trebuchet MS"/>
          <w:sz w:val="32"/>
          <w:szCs w:val="32"/>
        </w:rPr>
        <w:lastRenderedPageBreak/>
        <w:t>При этом требованием подпункта 3 пункта 1 статьи 333.45 Кодекса к участкам недр, указанным в абзацах втором и третьем подпункта 3 пункта 1 статьи 333.45 Кодекса, признается выполненным при условии представления организацией - пользователем такого участка недр в налоговый орган по месту постановки на учет в качестве налогоплательщика (по месту постановки на учет в качестве крупнейшего налогоплательщика для организаций, отнесенных к</w:t>
      </w:r>
      <w:proofErr w:type="gramEnd"/>
      <w:r w:rsidRPr="001C0582">
        <w:rPr>
          <w:rFonts w:ascii="Trebuchet MS" w:hAnsi="Trebuchet MS"/>
          <w:sz w:val="32"/>
          <w:szCs w:val="32"/>
        </w:rPr>
        <w:t xml:space="preserve"> категории крупнейших налогоплательщиков) уведомления в произвольной форме о реализации ею права на исполнение обязанностей налогоплательщика по НДД в отношении такого участка недр (далее – уведомление).</w:t>
      </w:r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proofErr w:type="gramStart"/>
      <w:r w:rsidRPr="001C0582">
        <w:rPr>
          <w:rFonts w:ascii="Trebuchet MS" w:hAnsi="Trebuchet MS"/>
          <w:sz w:val="32"/>
          <w:szCs w:val="32"/>
        </w:rPr>
        <w:t>Пунктом 7 статьи 333.44 Кодекса предусмотрено освобождение организации от исполнения обязанностей налогоплательщика по НДД в отношении участка недр, указанного в абзаце первом подпункта 2 или абзацах втором и третьем подпункта 3 пункта 1 статьи 333.45 Кодекса, до 1-го числа квартала, следующего за кварталом, в котором применительно к такому участку недр выполнено условие о представлении организацией в налоговый орган уведомления, если</w:t>
      </w:r>
      <w:proofErr w:type="gramEnd"/>
      <w:r w:rsidRPr="001C0582">
        <w:rPr>
          <w:rFonts w:ascii="Trebuchet MS" w:hAnsi="Trebuchet MS"/>
          <w:sz w:val="32"/>
          <w:szCs w:val="32"/>
        </w:rPr>
        <w:t xml:space="preserve"> иное не установлено пунктом 7 статьи 333.44 Кодекса.</w:t>
      </w:r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r w:rsidRPr="001C0582">
        <w:rPr>
          <w:rFonts w:ascii="Trebuchet MS" w:hAnsi="Trebuchet MS"/>
          <w:sz w:val="32"/>
          <w:szCs w:val="32"/>
        </w:rPr>
        <w:t>При этом организация вправе начать применение НДД в отношении такого участка недр с 1-го числа квартала, в ко</w:t>
      </w:r>
      <w:r w:rsidRPr="001C0582">
        <w:rPr>
          <w:rFonts w:ascii="Trebuchet MS" w:hAnsi="Trebuchet MS"/>
          <w:sz w:val="32"/>
          <w:szCs w:val="32"/>
        </w:rPr>
        <w:t xml:space="preserve">тором организацией представлено </w:t>
      </w:r>
      <w:r w:rsidRPr="001C0582">
        <w:rPr>
          <w:rFonts w:ascii="Trebuchet MS" w:hAnsi="Trebuchet MS"/>
          <w:sz w:val="32"/>
          <w:szCs w:val="32"/>
        </w:rPr>
        <w:t>соответствующее уведомление, в случае указания в уведомлении информации о реализации ею такого права начиная с указанной даты.</w:t>
      </w:r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r w:rsidRPr="001C0582">
        <w:rPr>
          <w:rFonts w:ascii="Trebuchet MS" w:hAnsi="Trebuchet MS"/>
          <w:sz w:val="32"/>
          <w:szCs w:val="32"/>
        </w:rPr>
        <w:t>Таким образом, право на начало применение НДД для организаций выполнившим требования подпункта 3 пункта 1 статьи 333.45 Кодекса к участкам недр, указанным в абзацах втором и третьем подпункта 3 пункта 1 статьи 333.45 Кодекса сохраняется в течени</w:t>
      </w:r>
      <w:proofErr w:type="gramStart"/>
      <w:r w:rsidRPr="001C0582">
        <w:rPr>
          <w:rFonts w:ascii="Trebuchet MS" w:hAnsi="Trebuchet MS"/>
          <w:sz w:val="32"/>
          <w:szCs w:val="32"/>
        </w:rPr>
        <w:t>и</w:t>
      </w:r>
      <w:proofErr w:type="gramEnd"/>
      <w:r w:rsidRPr="001C0582">
        <w:rPr>
          <w:rFonts w:ascii="Trebuchet MS" w:hAnsi="Trebuchet MS"/>
          <w:sz w:val="32"/>
          <w:szCs w:val="32"/>
        </w:rPr>
        <w:t xml:space="preserve"> календарного года начиная с 1 января 2021 года.</w:t>
      </w:r>
    </w:p>
    <w:p w:rsidR="001C0582" w:rsidRPr="001C0582" w:rsidRDefault="001C0582" w:rsidP="001C0582">
      <w:pPr>
        <w:ind w:firstLine="708"/>
        <w:jc w:val="both"/>
        <w:rPr>
          <w:rFonts w:ascii="Trebuchet MS" w:hAnsi="Trebuchet MS"/>
          <w:sz w:val="32"/>
          <w:szCs w:val="32"/>
        </w:rPr>
      </w:pPr>
      <w:r w:rsidRPr="001C0582">
        <w:rPr>
          <w:rFonts w:ascii="Trebuchet MS" w:hAnsi="Trebuchet MS"/>
          <w:sz w:val="32"/>
          <w:szCs w:val="32"/>
        </w:rPr>
        <w:t xml:space="preserve">При этом началом применение НДД для таких организаций является 1-е число </w:t>
      </w:r>
      <w:proofErr w:type="gramStart"/>
      <w:r w:rsidRPr="001C0582">
        <w:rPr>
          <w:rFonts w:ascii="Trebuchet MS" w:hAnsi="Trebuchet MS"/>
          <w:sz w:val="32"/>
          <w:szCs w:val="32"/>
        </w:rPr>
        <w:t>квартала</w:t>
      </w:r>
      <w:proofErr w:type="gramEnd"/>
      <w:r w:rsidRPr="001C0582">
        <w:rPr>
          <w:rFonts w:ascii="Trebuchet MS" w:hAnsi="Trebuchet MS"/>
          <w:sz w:val="32"/>
          <w:szCs w:val="32"/>
        </w:rPr>
        <w:t xml:space="preserve"> в котором такой организацией представлено уведомление, в случае указания в уведомлении информации о реализации организацией такого права начиная с указанной даты, либо 1-е число квартала, следующего за кварталом, в котором применительно к такому участку недр организацией представлено уведомление, в котором не указана информация о дате начала применения НДД.</w:t>
      </w:r>
    </w:p>
    <w:p w:rsidR="007430E2" w:rsidRPr="00CC6E00" w:rsidRDefault="007430E2" w:rsidP="007430E2">
      <w:pPr>
        <w:ind w:firstLine="708"/>
        <w:jc w:val="both"/>
        <w:rPr>
          <w:rFonts w:ascii="Trebuchet MS" w:hAnsi="Trebuchet MS"/>
          <w:sz w:val="30"/>
          <w:szCs w:val="30"/>
        </w:rPr>
      </w:pPr>
    </w:p>
    <w:p w:rsidR="00CC6E00" w:rsidRPr="00CC6E00" w:rsidRDefault="001C0582" w:rsidP="00CC6E00">
      <w:pPr>
        <w:ind w:firstLine="708"/>
        <w:jc w:val="both"/>
        <w:rPr>
          <w:rFonts w:ascii="Trebuchet MS" w:hAnsi="Trebuchet MS"/>
          <w:sz w:val="30"/>
          <w:szCs w:val="30"/>
        </w:rPr>
      </w:pPr>
      <w:r w:rsidRPr="0024155A">
        <w:rPr>
          <w:rFonts w:ascii="Trebuchet MS" w:hAnsi="Trebuchet MS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4C9484" wp14:editId="5DEA8124">
                <wp:simplePos x="0" y="0"/>
                <wp:positionH relativeFrom="column">
                  <wp:posOffset>-58420</wp:posOffset>
                </wp:positionH>
                <wp:positionV relativeFrom="paragraph">
                  <wp:posOffset>384175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0E2" w:rsidRPr="006E30E2" w:rsidRDefault="006E30E2" w:rsidP="006E30E2">
                            <w:pPr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6E30E2" w:rsidRPr="006E30E2" w:rsidRDefault="006E30E2" w:rsidP="006E30E2">
                            <w:pPr>
                              <w:jc w:val="center"/>
                              <w:rPr>
                                <w:rFonts w:ascii="Trebuchet MS" w:hAnsi="Trebuchet MS" w:cs="Arial"/>
                                <w:color w:val="FFFFFF"/>
                              </w:rPr>
                            </w:pPr>
                            <w:r w:rsidRPr="006E30E2">
                              <w:rPr>
                                <w:rFonts w:ascii="Trebuchet MS" w:hAnsi="Trebuchet MS" w:cs="Arial"/>
                                <w:color w:val="FFFFFF"/>
                              </w:rPr>
                              <w:sym w:font="Wingdings" w:char="F028"/>
                            </w:r>
                            <w:r w:rsidRPr="006E30E2">
                              <w:rPr>
                                <w:rFonts w:ascii="Trebuchet MS" w:hAnsi="Trebuchet MS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4.6pt;margin-top:30.25pt;width:539.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" fillcolor="#0066b3">
                <v:textbox>
                  <w:txbxContent>
                    <w:p w:rsidR="006E30E2" w:rsidRPr="006E30E2" w:rsidRDefault="006E30E2" w:rsidP="006E30E2">
                      <w:pPr>
                        <w:jc w:val="center"/>
                        <w:rPr>
                          <w:rFonts w:ascii="Trebuchet MS" w:hAnsi="Trebuchet MS" w:cs="Arial"/>
                          <w:b/>
                          <w:color w:val="FFFFFF"/>
                        </w:rPr>
                      </w:pPr>
                      <w:proofErr w:type="gramStart"/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6E30E2" w:rsidRPr="006E30E2" w:rsidRDefault="006E30E2" w:rsidP="006E30E2">
                      <w:pPr>
                        <w:jc w:val="center"/>
                        <w:rPr>
                          <w:rFonts w:ascii="Trebuchet MS" w:hAnsi="Trebuchet MS" w:cs="Arial"/>
                          <w:color w:val="FFFFFF"/>
                        </w:rPr>
                      </w:pPr>
                      <w:r w:rsidRPr="006E30E2">
                        <w:rPr>
                          <w:rFonts w:ascii="Trebuchet MS" w:hAnsi="Trebuchet MS" w:cs="Arial"/>
                          <w:color w:val="FFFFFF"/>
                        </w:rPr>
                        <w:sym w:font="Wingdings" w:char="F028"/>
                      </w:r>
                      <w:r w:rsidRPr="006E30E2">
                        <w:rPr>
                          <w:rFonts w:ascii="Trebuchet MS" w:hAnsi="Trebuchet MS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6E00" w:rsidRPr="00CC6E00" w:rsidSect="00C33312">
      <w:pgSz w:w="11906" w:h="16838"/>
      <w:pgMar w:top="426" w:right="707" w:bottom="426" w:left="70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D57BC0"/>
    <w:multiLevelType w:val="hybridMultilevel"/>
    <w:tmpl w:val="890633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E03F9E"/>
    <w:multiLevelType w:val="hybridMultilevel"/>
    <w:tmpl w:val="B4B631D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1E"/>
    <w:rsid w:val="00001769"/>
    <w:rsid w:val="000322C0"/>
    <w:rsid w:val="00052581"/>
    <w:rsid w:val="000718F5"/>
    <w:rsid w:val="000804FE"/>
    <w:rsid w:val="000C58AB"/>
    <w:rsid w:val="000D247D"/>
    <w:rsid w:val="000E66AF"/>
    <w:rsid w:val="00187A30"/>
    <w:rsid w:val="001C0582"/>
    <w:rsid w:val="001C1DF7"/>
    <w:rsid w:val="001D44D1"/>
    <w:rsid w:val="0020180A"/>
    <w:rsid w:val="00230203"/>
    <w:rsid w:val="00233006"/>
    <w:rsid w:val="00252B10"/>
    <w:rsid w:val="00285F46"/>
    <w:rsid w:val="002A1BE9"/>
    <w:rsid w:val="0037239A"/>
    <w:rsid w:val="003B3B84"/>
    <w:rsid w:val="003D1957"/>
    <w:rsid w:val="004324DD"/>
    <w:rsid w:val="00441EBD"/>
    <w:rsid w:val="00456F09"/>
    <w:rsid w:val="00457953"/>
    <w:rsid w:val="0046107B"/>
    <w:rsid w:val="00480E95"/>
    <w:rsid w:val="004B7E9B"/>
    <w:rsid w:val="004F081E"/>
    <w:rsid w:val="0063295A"/>
    <w:rsid w:val="00686270"/>
    <w:rsid w:val="00693834"/>
    <w:rsid w:val="006B3DC5"/>
    <w:rsid w:val="006E30E2"/>
    <w:rsid w:val="00712540"/>
    <w:rsid w:val="007430E2"/>
    <w:rsid w:val="00745456"/>
    <w:rsid w:val="00791BEE"/>
    <w:rsid w:val="0079263B"/>
    <w:rsid w:val="007A106F"/>
    <w:rsid w:val="007A72EF"/>
    <w:rsid w:val="007E1748"/>
    <w:rsid w:val="007E6D7C"/>
    <w:rsid w:val="008609E3"/>
    <w:rsid w:val="00872342"/>
    <w:rsid w:val="00886878"/>
    <w:rsid w:val="008B552B"/>
    <w:rsid w:val="008D4198"/>
    <w:rsid w:val="008F2507"/>
    <w:rsid w:val="00965AA1"/>
    <w:rsid w:val="00995484"/>
    <w:rsid w:val="009E1B28"/>
    <w:rsid w:val="00A16086"/>
    <w:rsid w:val="00A17C80"/>
    <w:rsid w:val="00A3153E"/>
    <w:rsid w:val="00A36C81"/>
    <w:rsid w:val="00A404AD"/>
    <w:rsid w:val="00AA2858"/>
    <w:rsid w:val="00AC0AE1"/>
    <w:rsid w:val="00AC360B"/>
    <w:rsid w:val="00AE4467"/>
    <w:rsid w:val="00B009F4"/>
    <w:rsid w:val="00B15E38"/>
    <w:rsid w:val="00B22918"/>
    <w:rsid w:val="00B25B48"/>
    <w:rsid w:val="00B30635"/>
    <w:rsid w:val="00B33751"/>
    <w:rsid w:val="00B52AAB"/>
    <w:rsid w:val="00B8136F"/>
    <w:rsid w:val="00B86BD4"/>
    <w:rsid w:val="00B96A2D"/>
    <w:rsid w:val="00BB13D8"/>
    <w:rsid w:val="00BB1D6A"/>
    <w:rsid w:val="00C33312"/>
    <w:rsid w:val="00C35792"/>
    <w:rsid w:val="00C52062"/>
    <w:rsid w:val="00C53ED5"/>
    <w:rsid w:val="00C90716"/>
    <w:rsid w:val="00C93955"/>
    <w:rsid w:val="00CC338D"/>
    <w:rsid w:val="00CC6E00"/>
    <w:rsid w:val="00D02ABD"/>
    <w:rsid w:val="00D34EEC"/>
    <w:rsid w:val="00D6296B"/>
    <w:rsid w:val="00D662F1"/>
    <w:rsid w:val="00D7527E"/>
    <w:rsid w:val="00D85D95"/>
    <w:rsid w:val="00D97A74"/>
    <w:rsid w:val="00DF1FE1"/>
    <w:rsid w:val="00DF733A"/>
    <w:rsid w:val="00E11C83"/>
    <w:rsid w:val="00E15A42"/>
    <w:rsid w:val="00E40BC6"/>
    <w:rsid w:val="00E653C6"/>
    <w:rsid w:val="00E87DC7"/>
    <w:rsid w:val="00EA16F5"/>
    <w:rsid w:val="00EB5026"/>
    <w:rsid w:val="00EE79E5"/>
    <w:rsid w:val="00F05FFF"/>
    <w:rsid w:val="00F52827"/>
    <w:rsid w:val="00F55D84"/>
    <w:rsid w:val="00F61F0B"/>
    <w:rsid w:val="00F960C3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AA90-883C-4B25-AFB1-BE29FD81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28</cp:revision>
  <cp:lastPrinted>2020-07-21T10:57:00Z</cp:lastPrinted>
  <dcterms:created xsi:type="dcterms:W3CDTF">2020-11-27T09:51:00Z</dcterms:created>
  <dcterms:modified xsi:type="dcterms:W3CDTF">2021-03-02T04:57:00Z</dcterms:modified>
</cp:coreProperties>
</file>