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Банкротство: разъяснения ВС РФ по субординации требований и субсидиарной ответственности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постановлении</w:t>
      </w:r>
      <w:r>
        <w:rPr>
          <w:rFonts w:ascii="Times New Roman" w:hAnsi="Times New Roman"/>
          <w:sz w:val="28"/>
        </w:rPr>
        <w:t xml:space="preserve"> о субординации Пленум ВС РФ рассмотрел нюансы установления требований </w:t>
      </w:r>
      <w:r>
        <w:rPr>
          <w:rFonts w:ascii="Times New Roman" w:hAnsi="Times New Roman"/>
          <w:sz w:val="28"/>
        </w:rPr>
        <w:t>контролирующих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аффилированных</w:t>
      </w:r>
      <w:r>
        <w:rPr>
          <w:rFonts w:ascii="Times New Roman" w:hAnsi="Times New Roman"/>
          <w:sz w:val="28"/>
        </w:rPr>
        <w:t xml:space="preserve"> лиц, а также полномочия указанных лиц в деле о банкротстве.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частности, суд </w:t>
      </w:r>
      <w:r>
        <w:rPr>
          <w:rFonts w:ascii="Times New Roman" w:hAnsi="Times New Roman"/>
          <w:sz w:val="28"/>
        </w:rPr>
        <w:t>разъяснил</w:t>
      </w:r>
      <w:r>
        <w:rPr>
          <w:rFonts w:ascii="Times New Roman" w:hAnsi="Times New Roman"/>
          <w:sz w:val="28"/>
        </w:rPr>
        <w:t>, что формально независимый кредитор, который предоставил финансирование на явно необычных или невыгодных условиях, должен доказать разумный экономический мотив, не связанный с контролем над должником. В противном случае требование может быть субординировано.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Одна из важнейших </w:t>
      </w:r>
      <w:r>
        <w:rPr>
          <w:rFonts w:ascii="Times New Roman" w:hAnsi="Times New Roman"/>
          <w:sz w:val="28"/>
        </w:rPr>
        <w:t>позиций</w:t>
      </w:r>
      <w:r>
        <w:rPr>
          <w:rFonts w:ascii="Times New Roman" w:hAnsi="Times New Roman"/>
          <w:sz w:val="28"/>
        </w:rPr>
        <w:t xml:space="preserve"> - суд вправе утвердить реабилитационный план, даже если против высказалось большинство кредиторов.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Другим </w:t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Пленум ВС РФ дополнил и уточнил свои разъяснения о привлечении к ответственности контролирующих лиц. Например, появился блок разъяснений, посвященных </w:t>
      </w:r>
      <w:r>
        <w:rPr>
          <w:rFonts w:ascii="Times New Roman" w:hAnsi="Times New Roman"/>
          <w:sz w:val="28"/>
        </w:rPr>
        <w:t>размеру</w:t>
      </w:r>
      <w:r>
        <w:rPr>
          <w:rFonts w:ascii="Times New Roman" w:hAnsi="Times New Roman"/>
          <w:sz w:val="28"/>
        </w:rPr>
        <w:t xml:space="preserve"> субсидиарной ответственности.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Документы: </w:t>
      </w:r>
      <w:r>
        <w:rPr>
          <w:rFonts w:ascii="Times New Roman" w:hAnsi="Times New Roman"/>
          <w:i w:val="1"/>
          <w:sz w:val="28"/>
        </w:rPr>
        <w:t>Постановление</w:t>
      </w:r>
      <w:r>
        <w:rPr>
          <w:rFonts w:ascii="Times New Roman" w:hAnsi="Times New Roman"/>
          <w:i w:val="1"/>
          <w:sz w:val="28"/>
        </w:rPr>
        <w:t xml:space="preserve"> Пленума Верховного Суда РФ от 23.12.2025 N 41</w:t>
      </w:r>
    </w:p>
    <w:p w14:paraId="0F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Постановление</w:t>
      </w:r>
      <w:r>
        <w:rPr>
          <w:rFonts w:ascii="Times New Roman" w:hAnsi="Times New Roman"/>
          <w:i w:val="1"/>
          <w:sz w:val="28"/>
        </w:rPr>
        <w:t xml:space="preserve"> Пленума Верховного Суда РФ от 23.12.2025 N 42</w:t>
      </w:r>
    </w:p>
    <w:p w14:paraId="10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i w:val="1"/>
          <w:sz w:val="28"/>
        </w:rPr>
      </w:pPr>
    </w:p>
    <w:p w14:paraId="11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i w:val="1"/>
          <w:sz w:val="28"/>
        </w:rPr>
      </w:pPr>
    </w:p>
    <w:p w14:paraId="12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2026-03-19T14:30:22Z</dcterms:created>
  <dcterms:modified xsi:type="dcterms:W3CDTF">2026-03-19T14:30:22Z</dcterms:modified>
</cp:coreProperties>
</file>