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highlight w:val="none"/>
        </w:rPr>
      </w:pPr>
      <w:r>
        <w:rPr/>
        <w:drawing>
          <wp:inline distT="0" distB="0" distL="0" distR="0">
            <wp:extent cx="609600" cy="6838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/>
        <w:suppressAutoHyphens w:val="true"/>
        <w:bidi w:val="0"/>
        <w:spacing w:lineRule="auto" w:line="276" w:beforeAutospacing="0" w:before="0" w:afterAutospacing="0" w:after="200"/>
        <w:ind w:hanging="0" w:left="0" w:right="0"/>
        <w:jc w:val="left"/>
        <w:rPr>
          <w:rFonts w:ascii="Arimo" w:hAnsi="Arimo"/>
          <w:b/>
          <w:bCs/>
          <w:sz w:val="24"/>
          <w:szCs w:val="24"/>
        </w:rPr>
      </w:pPr>
      <w:r>
        <w:rPr>
          <w:rFonts w:ascii="Arimo" w:hAnsi="Arimo"/>
          <w:b/>
          <w:bCs/>
          <w:sz w:val="24"/>
          <w:szCs w:val="24"/>
        </w:rPr>
        <w:t>Рубрика «Вопрос - ответ»</w:t>
      </w:r>
    </w:p>
    <w:p>
      <w:pPr>
        <w:pStyle w:val="Normal"/>
        <w:ind w:hanging="0" w:left="0" w:right="0"/>
        <w:rPr>
          <w:rFonts w:ascii="Arimo" w:hAnsi="Arimo"/>
          <w:b/>
          <w:bCs/>
          <w:sz w:val="24"/>
          <w:szCs w:val="24"/>
        </w:rPr>
      </w:pPr>
      <w:r>
        <w:rPr>
          <w:rFonts w:ascii="Arimo" w:hAnsi="Arimo"/>
          <w:b/>
          <w:bCs/>
          <w:sz w:val="24"/>
          <w:szCs w:val="24"/>
        </w:rPr>
        <w:t>«Как наследнику зарегистрировать право на жилой дом в рамках «Дачной амнистии», если права на него не были оформлены?»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375" w:leader="none"/>
        </w:tabs>
        <w:suppressAutoHyphens w:val="true"/>
        <w:bidi w:val="0"/>
        <w:spacing w:lineRule="auto" w:line="276" w:beforeAutospacing="0" w:before="0" w:afterAutospacing="0" w:after="0"/>
        <w:ind w:hanging="0" w:left="143" w:right="6"/>
        <w:contextualSpacing w:val="false"/>
        <w:jc w:val="both"/>
        <w:rPr>
          <w:rFonts w:ascii="Arimo" w:hAnsi="Arimo" w:eastAsia="Arial" w:cs="Arial" w:cstheme="minorBidi" w:eastAsiaTheme="minorHAnsi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Arial" w:cs="Arial" w:cstheme="minorBidi" w:eastAsiaTheme="minorHAnsi" w:ascii="Arimo" w:hAnsi="Arimo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375" w:leader="none"/>
        </w:tabs>
        <w:suppressAutoHyphens w:val="true"/>
        <w:bidi w:val="0"/>
        <w:spacing w:lineRule="auto" w:line="276" w:beforeAutospacing="0" w:before="0" w:afterAutospacing="0" w:after="0"/>
        <w:ind w:hanging="0" w:left="143" w:right="6"/>
        <w:contextualSpacing w:val="false"/>
        <w:jc w:val="both"/>
        <w:rPr>
          <w:rFonts w:ascii="Arimo" w:hAnsi="Arimo" w:eastAsia="Arial" w:cs="Arial" w:cstheme="minorBidi" w:eastAsiaTheme="minorHAnsi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Arial" w:cs="Arial" w:cstheme="minorBidi" w:eastAsiaTheme="minorHAnsi" w:ascii="Arimo" w:hAnsi="Arimo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Начальник межмуниципального отдела по городу Нягань и Октябрьскому району Управления Росреестра по ХМАО-Югре Олег Смирнов поясняет: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375" w:leader="none"/>
        </w:tabs>
        <w:suppressAutoHyphens w:val="true"/>
        <w:bidi w:val="0"/>
        <w:spacing w:lineRule="auto" w:line="276" w:beforeAutospacing="0" w:before="0" w:afterAutospacing="0" w:after="0"/>
        <w:ind w:hanging="0" w:left="143" w:right="6"/>
        <w:contextualSpacing w:val="false"/>
        <w:jc w:val="both"/>
        <w:rPr>
          <w:rFonts w:ascii="Arimo" w:hAnsi="Arimo" w:eastAsia="Arial" w:cs="Arial" w:cstheme="minorBidi" w:eastAsiaTheme="minorHAnsi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Arial" w:cs="Arial" w:cstheme="minorBidi" w:eastAsiaTheme="minorHAnsi" w:ascii="Arimo" w:hAnsi="Arimo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 xml:space="preserve">«Права на жилые дома, расположенные на земельных участках, предоставленных для садоводства, индивидуального жилищного строительства, ведения личного подсобного хозяйства в границах населенного пункта, для осуществления деятельности крестьянского (фермерского) хозяйства, а также воспользоваться правом предоставления бесплатно земельного участка под этим домом возможно в рамках «Дачной амнистии 2.0». </w:t>
        <w:br/>
        <w:t>Условия применения «Дачной амнистии»: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375" w:leader="none"/>
        </w:tabs>
        <w:suppressAutoHyphens w:val="true"/>
        <w:bidi w:val="0"/>
        <w:spacing w:lineRule="auto" w:line="276" w:beforeAutospacing="0" w:before="0" w:afterAutospacing="0" w:after="0"/>
        <w:ind w:hanging="0" w:left="143" w:right="6"/>
        <w:contextualSpacing w:val="false"/>
        <w:jc w:val="both"/>
        <w:rPr>
          <w:rFonts w:ascii="Arimo" w:hAnsi="Arimo" w:eastAsia="Arial" w:cs="Arial" w:cstheme="minorBidi" w:eastAsiaTheme="minorHAnsi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Arial" w:cs="Arial" w:cstheme="minorBidi" w:eastAsiaTheme="minorHAnsi" w:ascii="Arimo" w:hAnsi="Arimo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дом возведён до 14 мая 1998 года (до вступления в силу ГрК РФ) и находится в границах населённого пункта;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375" w:leader="none"/>
        </w:tabs>
        <w:suppressAutoHyphens w:val="true"/>
        <w:bidi w:val="0"/>
        <w:spacing w:lineRule="auto" w:line="276" w:beforeAutospacing="0" w:before="0" w:afterAutospacing="0" w:after="0"/>
        <w:ind w:hanging="0" w:left="143" w:right="6"/>
        <w:contextualSpacing w:val="false"/>
        <w:jc w:val="both"/>
        <w:rPr>
          <w:rFonts w:ascii="Arimo" w:hAnsi="Arimo" w:eastAsia="Arial" w:cs="Arial" w:cstheme="minorBidi" w:eastAsiaTheme="minorHAnsi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Arial" w:cs="Arial" w:cstheme="minorBidi" w:eastAsiaTheme="minorHAnsi" w:ascii="Arimo" w:hAnsi="Arimo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участок в государственной или муниципальной собственности и не предоставлен гражданину;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375" w:leader="none"/>
        </w:tabs>
        <w:suppressAutoHyphens w:val="true"/>
        <w:bidi w:val="0"/>
        <w:spacing w:lineRule="auto" w:line="276" w:beforeAutospacing="0" w:before="0" w:afterAutospacing="0" w:after="0"/>
        <w:ind w:hanging="0" w:left="143" w:right="6"/>
        <w:contextualSpacing w:val="false"/>
        <w:jc w:val="both"/>
        <w:rPr>
          <w:rFonts w:ascii="Arimo" w:hAnsi="Arimo" w:eastAsia="Arial" w:cs="Arial" w:cstheme="minorBidi" w:eastAsiaTheme="minorHAnsi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Arial" w:cs="Arial" w:cstheme="minorBidi" w:eastAsiaTheme="minorHAnsi" w:ascii="Arimo" w:hAnsi="Arimo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гражданин проживает в доме по постоянному месту жительства;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375" w:leader="none"/>
        </w:tabs>
        <w:suppressAutoHyphens w:val="true"/>
        <w:bidi w:val="0"/>
        <w:spacing w:lineRule="auto" w:line="276" w:beforeAutospacing="0" w:before="0" w:afterAutospacing="0" w:after="0"/>
        <w:ind w:hanging="0" w:left="143" w:right="6"/>
        <w:contextualSpacing w:val="false"/>
        <w:jc w:val="both"/>
        <w:rPr>
          <w:rFonts w:ascii="Arimo" w:hAnsi="Arimo" w:eastAsia="Arial" w:cs="Arial" w:cstheme="minorBidi" w:eastAsiaTheme="minorHAnsi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Arial" w:cs="Arial" w:cstheme="minorBidi" w:eastAsiaTheme="minorHAnsi" w:ascii="Arimo" w:hAnsi="Arimo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права на дом не зарегистрированы».</w:t>
      </w:r>
    </w:p>
    <w:p>
      <w:pPr>
        <w:pStyle w:val="ListParagraph"/>
        <w:widowControl/>
        <w:tabs>
          <w:tab w:val="clear" w:pos="708"/>
          <w:tab w:val="left" w:pos="375" w:leader="none"/>
        </w:tabs>
        <w:suppressAutoHyphens w:val="true"/>
        <w:bidi w:val="0"/>
        <w:spacing w:lineRule="auto" w:line="276" w:beforeAutospacing="0" w:before="0" w:afterAutospacing="0" w:after="0"/>
        <w:ind w:hanging="0" w:left="143" w:right="6"/>
        <w:contextualSpacing w:val="false"/>
        <w:jc w:val="both"/>
        <w:rPr>
          <w:rFonts w:ascii="Arimo" w:hAnsi="Arimo" w:eastAsia="Arial" w:cs="Arial" w:cstheme="minorBidi" w:eastAsiaTheme="minorHAnsi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Arial" w:cs="Arial" w:cstheme="minorBidi" w:eastAsiaTheme="minorHAnsi" w:ascii="Arimo" w:hAnsi="Arimo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375" w:leader="none"/>
        </w:tabs>
        <w:suppressAutoHyphens w:val="true"/>
        <w:bidi w:val="0"/>
        <w:spacing w:lineRule="auto" w:line="276" w:beforeAutospacing="0" w:before="0" w:afterAutospacing="0" w:after="0"/>
        <w:ind w:hanging="0" w:left="143" w:right="6"/>
        <w:contextualSpacing w:val="false"/>
        <w:jc w:val="both"/>
        <w:rPr>
          <w:rFonts w:ascii="Arimo" w:hAnsi="Arimo" w:eastAsia="Arial" w:cs="Arial" w:cstheme="minorBidi" w:eastAsiaTheme="minorHAnsi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Arial" w:cs="Arial" w:cstheme="minorBidi" w:eastAsiaTheme="minorHAnsi" w:ascii="Arimo" w:hAnsi="Arimo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При этом так же необходимо понимать, что дом должен соответствовать параметрам объекта индивидуального жилищного строительства (ИЖС) или дома блокированной застройки, если количество таких домов, возведенных до 14 мая 1998 года, в одном ряду не превышает двух.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375" w:leader="none"/>
        </w:tabs>
        <w:suppressAutoHyphens w:val="true"/>
        <w:bidi w:val="0"/>
        <w:spacing w:lineRule="auto" w:line="276" w:beforeAutospacing="0" w:before="0" w:afterAutospacing="0" w:after="0"/>
        <w:ind w:hanging="0" w:left="143" w:right="6"/>
        <w:contextualSpacing w:val="false"/>
        <w:jc w:val="both"/>
        <w:rPr>
          <w:rFonts w:ascii="Arimo" w:hAnsi="Arimo" w:eastAsia="Arial" w:cs="Arial" w:cstheme="minorBidi" w:eastAsiaTheme="minorHAnsi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Arial" w:cs="Arial" w:cstheme="minorBidi" w:eastAsiaTheme="minorHAnsi" w:ascii="Arimo" w:hAnsi="Arimo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Образование земельного участка, на котором расположен такой жилой дом, осуществляется на основании схемы расположения земельного участка или утвержденного проекта межевания территорий. Для этого заявителю необходимо обратиться в орган местного самоуправления для написания заявления.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375" w:leader="none"/>
        </w:tabs>
        <w:suppressAutoHyphens w:val="true"/>
        <w:bidi w:val="0"/>
        <w:spacing w:lineRule="auto" w:line="276" w:beforeAutospacing="0" w:before="0" w:afterAutospacing="0" w:after="0"/>
        <w:ind w:hanging="0" w:left="143" w:right="6"/>
        <w:contextualSpacing w:val="false"/>
        <w:jc w:val="both"/>
        <w:rPr>
          <w:rFonts w:ascii="Arimo" w:hAnsi="Arimo" w:eastAsia="Arial" w:cs="Arial" w:cstheme="minorBidi" w:eastAsiaTheme="minorHAnsi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Arial" w:cs="Arial" w:cstheme="minorBidi" w:eastAsiaTheme="minorHAnsi" w:ascii="Arimo" w:hAnsi="Arimo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 xml:space="preserve">К заявлению необходимо будет приложить схему расположения земельного участка (в случае, если земельный участок подлежит образованию), а так же иные документы, если они имеются в наличии: 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375" w:leader="none"/>
        </w:tabs>
        <w:suppressAutoHyphens w:val="true"/>
        <w:bidi w:val="0"/>
        <w:spacing w:lineRule="auto" w:line="276" w:beforeAutospacing="0" w:before="0" w:afterAutospacing="0" w:after="0"/>
        <w:ind w:hanging="0" w:left="143" w:right="6"/>
        <w:contextualSpacing w:val="false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  <w:t>документ, подтверждающий подключение (технологическое присоединение) жилого дома к сетям инженерно-технического обеспечения и (или) подтверждающий осуществление оплаты коммунальных услуг;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75" w:leader="none"/>
        </w:tabs>
        <w:spacing w:lineRule="auto" w:line="276" w:before="0" w:after="0"/>
        <w:ind w:hanging="0" w:left="143" w:right="6"/>
        <w:contextualSpacing w:val="false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  <w:t>документ, который подтверждает проведение государственного технического учета и (или) технической инвентаризации жилого дома до 1 января 2013 года и</w:t>
      </w:r>
      <w:r>
        <w:rPr>
          <w:rFonts w:ascii="Arimo" w:hAnsi="Arimo"/>
          <w:b w:val="false"/>
          <w:bCs w:val="false"/>
          <w:spacing w:val="40"/>
          <w:sz w:val="24"/>
          <w:szCs w:val="24"/>
        </w:rPr>
        <w:t xml:space="preserve"> </w:t>
      </w:r>
      <w:r>
        <w:rPr>
          <w:rFonts w:ascii="Arimo" w:hAnsi="Arimo"/>
          <w:b w:val="false"/>
          <w:bCs w:val="false"/>
          <w:sz w:val="24"/>
          <w:szCs w:val="24"/>
        </w:rPr>
        <w:t>из которого следует, что заявитель является правообладателем жилого дома либо заказчиком изготовления указанного документа и жилой дом возведен до 14 мая 1998 года;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52" w:leader="none"/>
        </w:tabs>
        <w:spacing w:lineRule="auto" w:line="276" w:before="0" w:after="0"/>
        <w:ind w:hanging="0" w:left="143" w:right="8"/>
        <w:contextualSpacing w:val="false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  <w:t>документ, подтверждающий предоставление либо передачу иным лицом земельного участка, в том числе из которого образован испрашиваемый земельный участок, заявителю;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98" w:leader="none"/>
        </w:tabs>
        <w:spacing w:lineRule="auto" w:line="276" w:before="0" w:after="0"/>
        <w:ind w:hanging="0" w:left="143" w:right="12"/>
        <w:contextualSpacing w:val="false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  <w:t>документ, подтверждающий регистрацию заявителя по месту жительства в жилом доме до 14 мая 1998 года;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34" w:leader="none"/>
        </w:tabs>
        <w:spacing w:lineRule="auto" w:line="276" w:before="0" w:after="0"/>
        <w:ind w:hanging="0" w:left="143" w:right="4"/>
        <w:contextualSpacing w:val="false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  <w:t>выписка из похозяйственной книги или из иного документа, в которой содержится информация о жилом доме и его принадлежности заявителю;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44" w:leader="none"/>
        </w:tabs>
        <w:spacing w:lineRule="auto" w:line="276" w:before="0" w:after="0"/>
        <w:ind w:hanging="0" w:left="143" w:right="13"/>
        <w:contextualSpacing w:val="false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  <w:t>документ, выданный заявителю нотариусом до 14 мая 1998 года в отношении жилого дома, подтверждающий права заявителя на него.</w:t>
      </w:r>
    </w:p>
    <w:p>
      <w:pPr>
        <w:pStyle w:val="BodyText"/>
        <w:spacing w:lineRule="auto" w:line="276"/>
        <w:ind w:firstLine="709" w:left="143" w:right="2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  <w:t xml:space="preserve">Наследнику, помимо указанных документов, также так же необходимо предоставить свидетельство о праве на наследство, подтверждающее, что заявитель является наследником гражданина, которому принадлежал указанный </w:t>
      </w:r>
      <w:r>
        <w:rPr>
          <w:rFonts w:ascii="Arimo" w:hAnsi="Arimo"/>
          <w:b w:val="false"/>
          <w:bCs w:val="false"/>
          <w:spacing w:val="-4"/>
          <w:sz w:val="24"/>
          <w:szCs w:val="24"/>
        </w:rPr>
        <w:t>дом.</w:t>
      </w:r>
    </w:p>
    <w:p>
      <w:pPr>
        <w:pStyle w:val="BodyText"/>
        <w:spacing w:lineRule="auto" w:line="276"/>
        <w:ind w:firstLine="709" w:left="143" w:right="2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  <w:t>Государственная регистрация права собственности на земельный участок и возведенный до 14 мая 1998 года жилой дом на этом участке осуществляются по заявлению органа местного самоуправления, предоставивших данному гражданину указанный земельный участок.</w:t>
      </w:r>
    </w:p>
    <w:p>
      <w:pPr>
        <w:pStyle w:val="BodyText"/>
        <w:spacing w:lineRule="auto" w:line="276"/>
        <w:rPr>
          <w:rStyle w:val="Strong"/>
          <w:rFonts w:eastAsia="Tinos" w:cs="Tinos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none"/>
        </w:rPr>
      </w:pPr>
      <w:r>
        <w:rPr/>
      </w:r>
    </w:p>
    <w:p>
      <w:pPr>
        <w:pStyle w:val="Normal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sz w:val="20"/>
          <w:lang w:eastAsia="ru-RU"/>
        </w:rPr>
        <w:t>Пресс-служба Управления Росреестра по Ханты-Мансийскому автономному округу – Югре</w:t>
      </w:r>
    </w:p>
    <w:p>
      <w:pPr>
        <w:pStyle w:val="Normal"/>
        <w:spacing w:before="0" w:after="160"/>
        <w:rPr>
          <w:rFonts w:ascii="Times New Roman" w:hAnsi="Times New Roman"/>
          <w:sz w:val="20"/>
          <w:lang w:eastAsia="ru-RU"/>
        </w:rPr>
      </w:pPr>
      <w:r>
        <w:rPr>
          <w:rFonts w:eastAsia="Tinos" w:cs="Tinos" w:ascii="Times New Roman" w:hAnsi="Times New Roman"/>
          <w:sz w:val="20"/>
          <w:szCs w:val="28"/>
          <w:lang w:eastAsia="ru-RU"/>
        </w:rPr>
        <w:t>+7 (3467) 930-755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OpenSymbol">
    <w:altName w:val="Arial Unicode MS"/>
    <w:charset w:val="02"/>
    <w:family w:val="auto"/>
    <w:pitch w:val="default"/>
  </w:font>
  <w:font w:name="PT Astra Serif">
    <w:charset w:val="01"/>
    <w:family w:val="roman"/>
    <w:pitch w:val="default"/>
  </w:font>
  <w:font w:name="Arimo">
    <w:altName w:val="arial"/>
    <w:charset w:val="01"/>
    <w:family w:val="swiss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"/>
      <w:lvlJc w:val="left"/>
      <w:pPr>
        <w:tabs>
          <w:tab w:val="num" w:pos="0"/>
        </w:tabs>
        <w:ind w:left="144" w:hanging="300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32" w:hanging="30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24" w:hanging="30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17" w:hanging="30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09" w:hanging="30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02" w:hanging="30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94" w:hanging="30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6" w:hanging="30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79" w:hanging="30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user">
    <w:name w:val="Символ сноски (user)"/>
    <w:uiPriority w:val="99"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ser2">
    <w:name w:val="Символ нумерации (user)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qFormat/>
    <w:rPr>
      <w:b/>
      <w:bCs/>
    </w:rPr>
  </w:style>
  <w:style w:type="character" w:styleId="user3">
    <w:name w:val="Маркеры (user)"/>
    <w:qFormat/>
    <w:rPr>
      <w:rFonts w:ascii="OpenSymbol" w:hAnsi="OpenSymbol" w:eastAsia="OpenSymbol" w:cs="OpenSymbol"/>
    </w:rPr>
  </w:style>
  <w:style w:type="character" w:styleId="Style7">
    <w:name w:val="Маркеры"/>
    <w:qFormat/>
    <w:rPr>
      <w:rFonts w:ascii="OpenSymbol" w:hAnsi="OpenSymbol" w:eastAsia="OpenSymbol" w:cs="OpenSymbol"/>
    </w:rPr>
  </w:style>
  <w:style w:type="character" w:styleId="Style8">
    <w:name w:val="Символ нумерации"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4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5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/>
    </w:pPr>
    <w:rPr>
      <w:i/>
    </w:rPr>
  </w:style>
  <w:style w:type="paragraph" w:styleId="Style11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user4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user6">
    <w:name w:val="Содержимое врезки (user)"/>
    <w:basedOn w:val="Normal"/>
    <w:qFormat/>
    <w:pPr/>
    <w:rPr/>
  </w:style>
  <w:style w:type="numbering" w:styleId="user7" w:default="1">
    <w:name w:val="Без списка (user)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Application>LibreOffice/25.2.6.2$Linux_X86_64 LibreOffice_project/520$Build-2</Application>
  <AppVersion>15.0000</AppVersion>
  <Pages>2</Pages>
  <Words>437</Words>
  <Characters>2922</Characters>
  <CharactersWithSpaces>3325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>Наталья Сергеевна Глуховская</cp:lastModifiedBy>
  <dcterms:modified xsi:type="dcterms:W3CDTF">2026-03-10T14:01:14Z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