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ВС РФ разъяснил полномочия банка при наложении ареста на денежные средства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Конкурсный управляющий обратился в суд с иском к банку с требованием закрыть расчетный счет строительной компании и перечислить имеющиеся на нем деньги на основной счет истца. Заявитель уточнил, что указанные средства необходимы для формирования конкурсной массы и последующего погашения требований кредиторов. Банк в свою очередь сослался на постановление следователя о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наложении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ареста на денежные средства, находящиеся на спорном счете.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Суды поддержали банк, указав на отсутствие у кредитной организации полномочий самостоятельно отменять обеспечительные меры, принятые в рамках уголовного дела.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Верховный Суд России 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согласился с этой позицией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 xml:space="preserve"> – банк не вправе самостоятельно отменять арест, наложенный на имущество в рамках уголовного дела. Коллегия по экономическим спорам отказала в удовлетворении жалобы конкурсного управляющего.</w:t>
      </w:r>
    </w:p>
    <w:p w14:paraId="0E000000">
      <w:pPr>
        <w:ind/>
        <w:jc w:val="both"/>
        <w:rPr>
          <w:color w:val="000000"/>
          <w:sz w:val="28"/>
        </w:rPr>
      </w:pP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2025-12-07T11:11:04Z</dcterms:modified>
</cp:coreProperties>
</file>