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t xml:space="preserve">     </w:t>
      </w:r>
      <w:r>
        <w:rPr/>
        <w:drawing>
          <wp:inline distT="0" distB="0" distL="0" distR="0">
            <wp:extent cx="2476500" cy="866775"/>
            <wp:effectExtent l="0" t="0" r="0" b="0"/>
            <wp:docPr id="1" name="Рисунок 1" descr="Основное лого 2 Ханты-Мансийский автономный округ – Ю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сновное лого 2 Ханты-Мансийский автономный округ – Югр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rmal"/>
        <w:widowControl/>
        <w:spacing w:lineRule="auto" w:line="252" w:before="0" w:after="0"/>
        <w:ind w:firstLine="567" w:left="0" w:right="-57"/>
        <w:jc w:val="center"/>
        <w:rPr>
          <w:rFonts w:ascii="Arimo" w:hAnsi="Arimo" w:cs="PT Astra Serif"/>
          <w:b w:val="false"/>
          <w:sz w:val="28"/>
          <w:szCs w:val="28"/>
        </w:rPr>
      </w:pPr>
      <w:r>
        <w:rPr>
          <w:rFonts w:cs="PT Astra Serif" w:ascii="Arimo" w:hAnsi="Arimo"/>
          <w:b w:val="false"/>
          <w:sz w:val="28"/>
          <w:szCs w:val="28"/>
        </w:rPr>
      </w:r>
    </w:p>
    <w:p>
      <w:pPr>
        <w:pStyle w:val="Normal"/>
        <w:widowControl/>
        <w:spacing w:lineRule="auto" w:line="276" w:before="0" w:after="0"/>
        <w:ind w:firstLine="567" w:left="0" w:right="-57"/>
        <w:jc w:val="both"/>
        <w:rPr>
          <w:rFonts w:ascii="Arimo" w:hAnsi="Arimo"/>
          <w:b/>
          <w:bCs/>
          <w:i/>
          <w:i/>
          <w:iCs/>
        </w:rPr>
      </w:pPr>
      <w:r>
        <w:rPr>
          <w:rFonts w:eastAsia="PT Astra Serif" w:cs="PT Astra Serif" w:ascii="Arimo" w:hAnsi="Arimo"/>
          <w:b/>
          <w:bCs/>
          <w:i/>
          <w:iCs/>
          <w:sz w:val="28"/>
          <w:szCs w:val="28"/>
        </w:rPr>
        <w:t xml:space="preserve">В Югре продолжается работа по выявлению свободных земель для жилой застройки </w:t>
      </w:r>
      <w:r>
        <w:rPr>
          <w:rFonts w:eastAsia="PT Astra Serif" w:cs="PT Astra Serif" w:ascii="Arimo" w:hAnsi="Arimo"/>
          <w:b/>
          <w:bCs/>
          <w:i/>
          <w:iCs/>
          <w:sz w:val="28"/>
          <w:szCs w:val="28"/>
        </w:rPr>
        <w:t>в</w:t>
      </w:r>
      <w:r>
        <w:rPr>
          <w:rFonts w:eastAsia="PT Astra Serif" w:cs="PT Astra Serif" w:ascii="Arimo" w:hAnsi="Arimo"/>
          <w:b/>
          <w:bCs/>
          <w:i/>
          <w:iCs/>
          <w:color w:val="auto"/>
          <w:sz w:val="28"/>
          <w:szCs w:val="28"/>
        </w:rPr>
        <w:t xml:space="preserve"> рамках проекта «Земля для стройки»</w:t>
      </w:r>
    </w:p>
    <w:p>
      <w:pPr>
        <w:pStyle w:val="Normal"/>
        <w:widowControl/>
        <w:spacing w:lineRule="auto" w:line="276" w:before="0" w:after="0"/>
        <w:ind w:firstLine="567" w:left="0" w:right="-57"/>
        <w:jc w:val="both"/>
        <w:rPr>
          <w:rFonts w:ascii="PT Astra Serif" w:hAnsi="PT Astra Serif" w:eastAsia="PT Astra Serif" w:cs="PT Astra Serif"/>
          <w:b w:val="false"/>
          <w:bCs w:val="false"/>
          <w:sz w:val="28"/>
          <w:szCs w:val="28"/>
          <w:highlight w:val="none"/>
        </w:rPr>
      </w:pPr>
      <w:r>
        <w:rPr>
          <w:rFonts w:eastAsia="PT Astra Serif" w:cs="PT Astra Serif" w:ascii="PT Astra Serif" w:hAnsi="PT Astra Serif"/>
          <w:b/>
          <w:bCs/>
          <w:i/>
          <w:color w:val="auto"/>
          <w:sz w:val="28"/>
          <w:szCs w:val="28"/>
        </w:rPr>
      </w:r>
    </w:p>
    <w:p>
      <w:pPr>
        <w:pStyle w:val="BodyText"/>
        <w:widowControl/>
        <w:spacing w:lineRule="auto" w:line="276"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lang w:val="ru-RU" w:eastAsia="en-US" w:bidi="ar-SA"/>
        </w:rPr>
        <w:t>В рамках проекта «Земля для стройки» в Югре выявлено 2 484 земельных участка и территории общей площадью 1 354 га. Из них уже вовлечено 529 земельных участков общей площадью 307 га, а 1 955 свободных земельных участков и территорий общей площадью 1 047 га потенциально пригодны для вовлечения в целях жилищного строительства.</w:t>
      </w:r>
    </w:p>
    <w:p>
      <w:pPr>
        <w:pStyle w:val="BodyText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«Сервис „Земля для стройки“ — это инструмент платформы Национальной системы пространственных данных, запущенный в рамках государственной программы и функционирующий с 2024 года. Сервис помогает гражданам и юридическим лицам находить и анализировать земельные участки, пригодные для строительства жилья, в том числе для индивидуального жилищного строительства. Он позволяет: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проверить юридическую чистоту и характеристики участков;</w:t>
      </w:r>
    </w:p>
    <w:p>
      <w:pPr>
        <w:pStyle w:val="BodyText"/>
        <w:widowControl/>
        <w:numPr>
          <w:ilvl w:val="0"/>
          <w:numId w:val="2"/>
        </w:numPr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упростить взаимодействие с государственными структурами при подаче заявок и оформлении документации.</w:t>
      </w:r>
    </w:p>
    <w:p>
      <w:pPr>
        <w:pStyle w:val="BodyText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 xml:space="preserve">Регулярное обновление информации в сервисе даёт застройщикам и инвесторам возможность оперативно оценивать появление новых территорий для реализации проектов», — пояснил руководитель Росреестра Югры </w:t>
      </w:r>
      <w:r>
        <w:rPr>
          <w:rFonts w:eastAsia="PT Astra Serif" w:cs="PT Astra Serif" w:ascii="Arimo" w:hAnsi="Arimo"/>
          <w:b/>
          <w:bCs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Вячеслав Санников.</w:t>
      </w:r>
    </w:p>
    <w:p>
      <w:pPr>
        <w:pStyle w:val="BodyText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Органы местного самоуправления Югры продолжают работу по выявлению новых территорий для жилой застройки. С начала текущего года в рамках проекта «Земля для стройки» в округе выявлено около 40 га земель: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37 га планируется использовать для возведения многоквартирных домов;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3 га — для индивидуального жилищного строительства.</w:t>
      </w:r>
    </w:p>
    <w:p>
      <w:pPr>
        <w:pStyle w:val="BodyText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В рамках реализации указания Президента Российской Федерации от 16.09.2025 № Пр</w:t>
        <w:noBreakHyphen/>
        <w:t>2120 «О повышении капитализации территории страны» активно ведётся работа по выявлению свободных земель для жилой застройки. Планируется выявить до 800 га свободных земель.</w:t>
      </w:r>
    </w:p>
    <w:p>
      <w:pPr>
        <w:pStyle w:val="BodyText"/>
        <w:widowControl/>
        <w:suppressAutoHyphens w:val="true"/>
        <w:bidi w:val="0"/>
        <w:spacing w:before="0" w:after="0"/>
        <w:ind w:firstLine="567" w:left="0" w:right="-57"/>
        <w:jc w:val="both"/>
        <w:rPr>
          <w:rFonts w:ascii="Arimo" w:hAnsi="Arimo" w:eastAsia="PT Astra Serif" w:cs="PT Astra Serif"/>
          <w:b w:val="false"/>
          <w:i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PT Astra Serif" w:cs="PT Astra Serif" w:ascii="Arimo" w:hAnsi="Arimo"/>
          <w:b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ru-RU" w:eastAsia="en-US" w:bidi="ar-SA"/>
        </w:rPr>
        <w:t>Ознакомиться с информацией о свободных земельных участках, предназначенных для жилой застройки, можно в сервисе «Земля для стройки» на портале Национальной системы пространственных данных: https://nspd.gov.ru/construction-nspd.</w:t>
      </w:r>
    </w:p>
    <w:p>
      <w:pPr>
        <w:pStyle w:val="Normal"/>
        <w:spacing w:lineRule="auto" w:line="240"/>
        <w:jc w:val="right"/>
        <w:rPr>
          <w:color w:val="111111"/>
          <w:sz w:val="28"/>
          <w:szCs w:val="28"/>
          <w:highlight w:val="none"/>
        </w:rPr>
      </w:pPr>
      <w:r>
        <w:rPr>
          <w:color w:val="111111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2" w:before="0" w:after="0"/>
        <w:ind w:hanging="0" w:left="0" w:right="0"/>
        <w:jc w:val="left"/>
        <w:rPr>
          <w:rFonts w:ascii="Arimo" w:hAnsi="Arimo" w:eastAsia="PT Astra Serif" w:cs="PT Astra Serif"/>
          <w:color w:val="111111"/>
          <w:sz w:val="20"/>
          <w:szCs w:val="20"/>
          <w:lang w:eastAsia="ru-RU"/>
        </w:rPr>
      </w:pPr>
      <w:r>
        <w:rPr>
          <w:rFonts w:eastAsia="PT Astra Serif" w:cs="PT Astra Serif" w:ascii="Arimo" w:hAnsi="Arimo"/>
          <w:color w:val="111111"/>
          <w:sz w:val="20"/>
          <w:szCs w:val="20"/>
          <w:lang w:eastAsia="ru-RU"/>
        </w:rPr>
        <w:t>Пресс-служба Управления Росреестра по Ханты-Мансийскому автономному округу – Югре</w:t>
      </w:r>
    </w:p>
    <w:p>
      <w:pPr>
        <w:pStyle w:val="Normal"/>
        <w:spacing w:before="0" w:after="0"/>
        <w:rPr>
          <w:rFonts w:ascii="Arimo" w:hAnsi="Arimo"/>
          <w:color w:val="111111"/>
        </w:rPr>
      </w:pPr>
      <w:r>
        <w:rPr>
          <w:rFonts w:eastAsia="PT Astra Serif" w:cs="PT Astra Serif" w:ascii="Arimo" w:hAnsi="Arimo"/>
          <w:color w:val="111111"/>
          <w:sz w:val="20"/>
          <w:szCs w:val="20"/>
          <w:lang w:eastAsia="ru-RU"/>
        </w:rPr>
        <w:t>+7 (3467) 930-755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Arimo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0"/>
      <w:ind w:left="0" w:right="936"/>
      <w:jc w:val="left"/>
    </w:pPr>
    <w:rPr>
      <w:rFonts w:ascii="Times New Roman" w:hAnsi="Times New Roman" w:eastAsia="Calibri" w:cs="Arial"/>
      <w:b w:val="false"/>
      <w:i w:val="false"/>
      <w:color w:val="auto"/>
      <w:kern w:val="0"/>
      <w:sz w:val="20"/>
      <w:szCs w:val="22"/>
      <w:u w:val="none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u w:val="none"/>
      <w:lang w:eastAsia="ru-RU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lineRule="auto" w:line="276"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u w:val="none"/>
      <w:lang w:eastAsia="ru-RU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lang w:eastAsia="ru-RU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7" w:customStyle="1">
    <w:name w:val="Без интервала Знак"/>
    <w:uiPriority w:val="1"/>
    <w:qFormat/>
    <w:rPr>
      <w:rFonts w:ascii="Calibri" w:hAnsi="Calibri" w:eastAsia="Times New Roman" w:cs="Times New Roman"/>
      <w:lang w:eastAsia="ru-RU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  <w:u w:val="none"/>
    </w:rPr>
  </w:style>
  <w:style w:type="character" w:styleId="Style9" w:customStyle="1">
    <w:name w:val="Выделенная цитата Знак"/>
    <w:basedOn w:val="DefaultParagraphFont"/>
    <w:uiPriority w:val="30"/>
    <w:qFormat/>
    <w:rPr>
      <w:rFonts w:ascii="Calibri" w:hAnsi="Calibri" w:eastAsia="Times New Roman" w:cs="Times New Roman"/>
      <w:b/>
      <w:bCs/>
      <w:i/>
      <w:iCs/>
      <w:color w:val="4F81BD"/>
      <w:u w:val="non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user4">
    <w:name w:val="Колонтитулы (user)"/>
    <w:basedOn w:val="Normal"/>
    <w:qFormat/>
    <w:pPr/>
    <w:rPr/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u w:val="none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lineRule="auto" w:line="276" w:before="0" w:after="0"/>
      <w:ind w:left="0" w:right="936"/>
    </w:pPr>
    <w:rPr>
      <w:rFonts w:ascii="Times New Roman" w:hAnsi="Times New Roman" w:eastAsia="Times New Roman" w:cs="Times New Roman"/>
      <w:b w:val="false"/>
      <w:bCs/>
      <w:i w:val="false"/>
      <w:iCs/>
      <w:color w:val="auto"/>
      <w:sz w:val="20"/>
    </w:rPr>
  </w:style>
  <w:style w:type="paragraph" w:styleId="Style14">
    <w:name w:val="Горизонтальная линия"/>
    <w:basedOn w:val="Normal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numbering" w:styleId="Style15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LibreOffice/25.2.6.2$Linux_X86_64 LibreOffice_project/520$Build-2</Application>
  <AppVersion>15.0000</AppVersion>
  <Pages>1</Pages>
  <Words>271</Words>
  <Characters>1828</Characters>
  <CharactersWithSpaces>2201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dc:description/>
  <dc:language>ru-RU</dc:language>
  <cp:lastModifiedBy>Наталья Сергеевна Глуховская</cp:lastModifiedBy>
  <dcterms:modified xsi:type="dcterms:W3CDTF">2026-03-11T12:57:28Z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