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Отдельные законодательные акты РФ приведены в соответствие с положениями Федерального закона "О безопасности людей на водных объектах"</w:t>
      </w:r>
    </w:p>
    <w:p w14:paraId="09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B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Отдельные законодательные акты РФ приведены в соответствие с положениями Федерального закона "О безопасности людей на водных объектах"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Внесены изменения в Кодекс торгового мореплавания РФ и Кодекс внутреннего водного транспорта РФ в части классификации и освидетельствования маломерных судов, а также их регистрации, утратившими силу признано положение, относящее к полномочиям органов государственной власти субъектов РФ в области водных отношений утверждение правил пользования водными объектами для плавания на маломерных судах, и прочее.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Настоящий федеральный закон вступает в силу с 1 сентября 2025 года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"https://storage.consultant.ru/site20/202506/24/fz_240625-169.pdf"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169-ФЗ "О внесении изменений в отдельные законодательные акты Российской Федерации и признании утратившим силу пункта 7 статьи 25 Водного кодекса Российской Федерации").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F000000">
      <w:pPr>
        <w:ind/>
        <w:jc w:val="both"/>
        <w:rPr>
          <w:color w:val="000000"/>
        </w:rPr>
      </w:pPr>
    </w:p>
    <w:p w14:paraId="10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2025-06-29T13:19:52Z</dcterms:modified>
</cp:coreProperties>
</file>