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Определены основные требования к содержанию, объему, периодичности и качеству оказания услуги по социально-бытовой реабилитации и абилитации инвалидов</w:t>
      </w:r>
    </w:p>
    <w:p w14:paraId="09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center"/>
        <w:outlineLvl w:val="0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B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Определены основные требования к содержанию, объему, периодичности и качеству оказания услуги по социально-бытовой реабилитации и абилитации инвалидов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Документ содержит в том числе: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целевых реабилитационных групп инвалидов, в отношении которых он применяется;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формы оказания услуг (стационарная, полустационарная, на дому, в том числе дистанционно с применен</w:t>
      </w:r>
      <w:r>
        <w:rPr>
          <w:rFonts w:ascii="Times New Roman" w:hAnsi="Times New Roman"/>
          <w:color w:val="000000"/>
          <w:sz w:val="28"/>
          <w:u w:val="none"/>
        </w:rPr>
        <w:t>ием информационно-телекоммуникационных технологий);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специалистов, привлекаемых к реализации услуги;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перечень мероприятий, входящих в состав услуги, их содержание (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"https://www.consultant.ru/document/cons_doc_LAW_508130/"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Приказ Минтруда России от 20.05.2025 N 320н "Об утверждении Стандарта оказания услуги по социально-бытовой реабилитации и абилитации инвалидов" (Зарегистрировано в Минюсте России 19.06.2025 N 82658).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</w:p>
    <w:p w14:paraId="12000000">
      <w:pPr>
        <w:ind/>
        <w:jc w:val="both"/>
        <w:rPr>
          <w:color w:val="000000"/>
        </w:rPr>
      </w:pPr>
    </w:p>
    <w:p w14:paraId="13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2025-06-29T13:25:38Z</dcterms:modified>
</cp:coreProperties>
</file>