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Увеличены размеры госпошлин за регистрационные действия в отношении спортивных парусных судов, прогулочных и маломерных судов</w:t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Размеры госпошлин увеличены на 200 рублей</w:t>
      </w: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C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Увеличены размеры госпошлин за регистрационные действия в отношении спортивных парусных судов, прогулочных и маломерных судов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Размеры госпошлин увеличены на 200 рублей.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Так, за государственную регистрацию в соответствующем реестре спортивных парусных судов, прогулочных судов, маломерных судов размер госпошлины составит 1800 рублей. За госрегистрацию изменений, вносимых в соответствующий реестр, - 400 рублей. За выдачу свидетельства о праве собственности и за госрегистрацию ограничений (обременений) прав на такие суда - 1000 рублей.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Одновременно утратило силу положение, предусматривающее взимание госпошлины за выдачу судового билета в размере 200 рублей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"https://storage.consultant.ru/site20/202506/24/fz_240625-179.pdfОвнесенииизмененийвстатью333.33частивторойНалоговогокодексаРоссийскойФедерации" \o "Федеральный закон от 24.06.2025 N 179-ФЗ"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Федеральный закон от 24.06.2025 N 179-ФЗ "О внесении изменений в статью 333.33 части второй Налогового кодекса Российской Федерации")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2025-06-29T13:24:22Z</dcterms:modified>
</cp:coreProperties>
</file>