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19" w:rsidRDefault="00912E19" w:rsidP="00912E19">
      <w:pPr>
        <w:jc w:val="right"/>
      </w:pPr>
      <w:r>
        <w:t xml:space="preserve">         «26</w:t>
      </w:r>
      <w:r>
        <w:t>» июня  2020 года</w:t>
      </w: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912E19" w:rsidTr="00664FC7">
        <w:trPr>
          <w:trHeight w:val="1918"/>
        </w:trPr>
        <w:tc>
          <w:tcPr>
            <w:tcW w:w="1692" w:type="dxa"/>
            <w:shd w:val="clear" w:color="auto" w:fill="auto"/>
          </w:tcPr>
          <w:p w:rsidR="00912E19" w:rsidRDefault="00912E19" w:rsidP="00664FC7">
            <w:pPr>
              <w:jc w:val="right"/>
            </w:pPr>
          </w:p>
        </w:tc>
        <w:tc>
          <w:tcPr>
            <w:tcW w:w="8208" w:type="dxa"/>
            <w:shd w:val="clear" w:color="auto" w:fill="auto"/>
          </w:tcPr>
          <w:p w:rsidR="00912E19" w:rsidRDefault="00912E19" w:rsidP="00664FC7">
            <w:pPr>
              <w:shd w:val="clear" w:color="auto" w:fill="FFFFFF"/>
              <w:spacing w:line="738" w:lineRule="exact"/>
              <w:ind w:left="18"/>
              <w:rPr>
                <w:spacing w:val="-4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26B4BF" wp14:editId="09F0A81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138429</wp:posOffset>
                      </wp:positionV>
                      <wp:extent cx="4740910" cy="0"/>
                      <wp:effectExtent l="0" t="0" r="2159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" strokeweight="1.5pt"/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Нижневартовского района </w:t>
            </w:r>
          </w:p>
          <w:p w:rsidR="00912E19" w:rsidRDefault="00912E19" w:rsidP="00664FC7">
            <w:pPr>
              <w:shd w:val="clear" w:color="auto" w:fill="FFFFFF"/>
              <w:ind w:left="18"/>
              <w:jc w:val="both"/>
              <w:rPr>
                <w:spacing w:val="8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06DC76E" wp14:editId="3E88C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414654</wp:posOffset>
                      </wp:positionV>
                      <wp:extent cx="4740910" cy="0"/>
                      <wp:effectExtent l="0" t="19050" r="2159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tlnNiU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>
              <w:rPr>
                <w:spacing w:val="8"/>
                <w:sz w:val="34"/>
                <w:szCs w:val="34"/>
              </w:rPr>
              <w:t xml:space="preserve">Ханты-Мансийского </w:t>
            </w:r>
            <w:proofErr w:type="gramStart"/>
            <w:r>
              <w:rPr>
                <w:spacing w:val="8"/>
                <w:sz w:val="34"/>
                <w:szCs w:val="34"/>
              </w:rPr>
              <w:t>автономного</w:t>
            </w:r>
            <w:proofErr w:type="gramEnd"/>
            <w:r>
              <w:rPr>
                <w:spacing w:val="8"/>
                <w:sz w:val="34"/>
                <w:szCs w:val="34"/>
              </w:rPr>
              <w:t xml:space="preserve"> округа-Югра</w:t>
            </w:r>
          </w:p>
          <w:p w:rsidR="00912E19" w:rsidRDefault="00912E19" w:rsidP="00664FC7">
            <w:pPr>
              <w:jc w:val="right"/>
            </w:pPr>
          </w:p>
        </w:tc>
      </w:tr>
    </w:tbl>
    <w:p w:rsidR="00912E19" w:rsidRPr="00827875" w:rsidRDefault="00912E19" w:rsidP="00912E19">
      <w:pPr>
        <w:pStyle w:val="a3"/>
        <w:spacing w:line="240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2E19" w:rsidRDefault="00912E19" w:rsidP="00912E19">
      <w:pPr>
        <w:jc w:val="both"/>
      </w:pPr>
      <w:r>
        <w:rPr>
          <w:b/>
          <w:sz w:val="30"/>
          <w:szCs w:val="30"/>
        </w:rPr>
        <w:t xml:space="preserve">  </w:t>
      </w:r>
    </w:p>
    <w:p w:rsidR="00912E19" w:rsidRDefault="00912E19" w:rsidP="00912E1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Прокуратурой Нижневартовского</w:t>
      </w:r>
      <w:r>
        <w:rPr>
          <w:sz w:val="28"/>
          <w:szCs w:val="28"/>
        </w:rPr>
        <w:t xml:space="preserve"> района утверждено обвинительное заключение</w:t>
      </w:r>
      <w:r>
        <w:rPr>
          <w:sz w:val="28"/>
          <w:szCs w:val="28"/>
        </w:rPr>
        <w:t xml:space="preserve"> по уголовному делу в отношении </w:t>
      </w:r>
      <w:r>
        <w:rPr>
          <w:sz w:val="28"/>
          <w:szCs w:val="28"/>
        </w:rPr>
        <w:t xml:space="preserve">двух </w:t>
      </w:r>
      <w:r>
        <w:rPr>
          <w:sz w:val="28"/>
          <w:szCs w:val="28"/>
        </w:rPr>
        <w:t>жител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города </w:t>
      </w:r>
      <w:proofErr w:type="spellStart"/>
      <w:r>
        <w:rPr>
          <w:sz w:val="28"/>
          <w:szCs w:val="28"/>
        </w:rPr>
        <w:t>Урай</w:t>
      </w:r>
      <w:proofErr w:type="spellEnd"/>
      <w:r>
        <w:rPr>
          <w:sz w:val="28"/>
          <w:szCs w:val="28"/>
        </w:rPr>
        <w:t>, которы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обвиня</w:t>
      </w:r>
      <w:r>
        <w:rPr>
          <w:sz w:val="28"/>
          <w:szCs w:val="28"/>
        </w:rPr>
        <w:t>ются</w:t>
      </w:r>
      <w:r>
        <w:rPr>
          <w:sz w:val="28"/>
          <w:szCs w:val="28"/>
        </w:rPr>
        <w:t xml:space="preserve"> в совершении преступлений, предусмотренных </w:t>
      </w:r>
      <w:proofErr w:type="spellStart"/>
      <w:r>
        <w:rPr>
          <w:sz w:val="28"/>
          <w:szCs w:val="28"/>
        </w:rPr>
        <w:t>ч.3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ст.30</w:t>
      </w:r>
      <w:proofErr w:type="spellEnd"/>
      <w:r>
        <w:rPr>
          <w:sz w:val="28"/>
          <w:szCs w:val="28"/>
        </w:rPr>
        <w:t xml:space="preserve">, п. «г» </w:t>
      </w:r>
      <w:proofErr w:type="spellStart"/>
      <w:r>
        <w:rPr>
          <w:sz w:val="28"/>
          <w:szCs w:val="28"/>
        </w:rPr>
        <w:t>ч.4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ст.228.1</w:t>
      </w:r>
      <w:proofErr w:type="spellEnd"/>
      <w:r>
        <w:rPr>
          <w:sz w:val="28"/>
          <w:szCs w:val="28"/>
        </w:rPr>
        <w:t>,</w:t>
      </w:r>
      <w:r w:rsidRPr="00912E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ч.3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ст.30</w:t>
      </w:r>
      <w:proofErr w:type="spellEnd"/>
      <w:r>
        <w:rPr>
          <w:sz w:val="28"/>
          <w:szCs w:val="28"/>
        </w:rPr>
        <w:t xml:space="preserve">, п. «г» </w:t>
      </w:r>
      <w:proofErr w:type="spellStart"/>
      <w:r>
        <w:rPr>
          <w:sz w:val="28"/>
          <w:szCs w:val="28"/>
        </w:rPr>
        <w:t>ч.4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ст.228.1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п. «г» </w:t>
      </w:r>
      <w:proofErr w:type="spellStart"/>
      <w:r>
        <w:rPr>
          <w:sz w:val="28"/>
          <w:szCs w:val="28"/>
        </w:rPr>
        <w:t>ч.4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ст.228.1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 РФ (</w:t>
      </w:r>
      <w:r>
        <w:rPr>
          <w:sz w:val="28"/>
          <w:szCs w:val="28"/>
        </w:rPr>
        <w:t>покушении на незаконный сбыт наркотических средств, сбыте наркотических средств, совершенных группой</w:t>
      </w:r>
      <w:proofErr w:type="gramEnd"/>
      <w:r>
        <w:rPr>
          <w:sz w:val="28"/>
          <w:szCs w:val="28"/>
        </w:rPr>
        <w:t xml:space="preserve"> лиц по предварительному сговору, в крупном размере</w:t>
      </w:r>
      <w:r>
        <w:rPr>
          <w:sz w:val="28"/>
          <w:szCs w:val="28"/>
        </w:rPr>
        <w:t xml:space="preserve">). </w:t>
      </w:r>
    </w:p>
    <w:p w:rsidR="00912E19" w:rsidRDefault="00912E19" w:rsidP="00912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Проведенным расследованием установлено, что в </w:t>
      </w:r>
      <w:r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2020 года обвиняемы</w:t>
      </w:r>
      <w:r>
        <w:rPr>
          <w:sz w:val="28"/>
          <w:szCs w:val="28"/>
        </w:rPr>
        <w:t>е прибыли в</w:t>
      </w:r>
      <w:r>
        <w:rPr>
          <w:sz w:val="28"/>
          <w:szCs w:val="28"/>
        </w:rPr>
        <w:t xml:space="preserve"> Нижневартовск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где  преследуя цель получения прибыли от незаконного оборота наркотических средств, получили от неустановленного лица крупную партию наркотических средств, которую затем расфасовали с целью дальнейшего сбыта на более мелкие партии</w:t>
      </w:r>
      <w:r w:rsidR="006A74FF">
        <w:rPr>
          <w:sz w:val="28"/>
          <w:szCs w:val="28"/>
        </w:rPr>
        <w:t>. Далее с целью сбыта бесконтактным способом, путем осуществления закладок, обвиняемые подыскали на территории района скрытые места, в которых разместили пакеты с наркотическим средством</w:t>
      </w:r>
      <w:r w:rsidR="00A122A5">
        <w:rPr>
          <w:sz w:val="28"/>
          <w:szCs w:val="28"/>
        </w:rPr>
        <w:t>. Часть наркотического средства обвиняемые реализовали, в том числе лицу, которое затем было задержано сотрудниками полиции. Однако довести свой преступный умысел</w:t>
      </w:r>
      <w:bookmarkStart w:id="0" w:name="_GoBack"/>
      <w:bookmarkEnd w:id="0"/>
      <w:r w:rsidR="00A122A5">
        <w:rPr>
          <w:sz w:val="28"/>
          <w:szCs w:val="28"/>
        </w:rPr>
        <w:t xml:space="preserve"> до конца  не смогли по независящим  от них обстоятельствам, поскольку обвиняемые были задержаны сотрудниками полиции.  </w:t>
      </w:r>
    </w:p>
    <w:p w:rsidR="00A122A5" w:rsidRDefault="00A122A5" w:rsidP="00912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обвиняемых избрана мера пресечения в виде заключения под стражу.</w:t>
      </w:r>
    </w:p>
    <w:p w:rsidR="00912E19" w:rsidRDefault="00912E19" w:rsidP="00912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утверждения обвинительного </w:t>
      </w:r>
      <w:r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данное уголовное дело направлено в суд для рассмотрения по существу. </w:t>
      </w:r>
    </w:p>
    <w:p w:rsidR="00912E19" w:rsidRDefault="00912E19" w:rsidP="00912E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2E19" w:rsidRDefault="00912E19" w:rsidP="00912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12E19" w:rsidRDefault="00912E19" w:rsidP="00912E19">
      <w:pPr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Pr="00E21AC9">
        <w:rPr>
          <w:sz w:val="28"/>
          <w:szCs w:val="28"/>
        </w:rPr>
        <w:t>рокурор</w:t>
      </w:r>
      <w:r>
        <w:rPr>
          <w:sz w:val="28"/>
          <w:szCs w:val="28"/>
        </w:rPr>
        <w:t xml:space="preserve">а </w:t>
      </w:r>
      <w:r w:rsidRPr="00E21AC9">
        <w:rPr>
          <w:sz w:val="28"/>
          <w:szCs w:val="28"/>
        </w:rPr>
        <w:t>Нижневартовского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А.В. Богданов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912E19" w:rsidRPr="00E21AC9" w:rsidRDefault="00912E19" w:rsidP="00912E19">
      <w:pPr>
        <w:spacing w:line="240" w:lineRule="exact"/>
        <w:ind w:right="176"/>
        <w:jc w:val="both"/>
        <w:rPr>
          <w:sz w:val="28"/>
          <w:szCs w:val="28"/>
        </w:rPr>
      </w:pPr>
    </w:p>
    <w:p w:rsidR="00912E19" w:rsidRDefault="00912E19" w:rsidP="00912E19">
      <w:pPr>
        <w:spacing w:line="360" w:lineRule="auto"/>
        <w:ind w:right="175"/>
        <w:jc w:val="both"/>
        <w:rPr>
          <w:sz w:val="28"/>
          <w:szCs w:val="28"/>
        </w:rPr>
      </w:pPr>
    </w:p>
    <w:p w:rsidR="00912E19" w:rsidRDefault="00912E19" w:rsidP="00912E19">
      <w:pPr>
        <w:spacing w:line="360" w:lineRule="auto"/>
        <w:ind w:right="175"/>
        <w:jc w:val="both"/>
        <w:rPr>
          <w:sz w:val="28"/>
          <w:szCs w:val="28"/>
        </w:rPr>
      </w:pPr>
    </w:p>
    <w:p w:rsidR="00912E19" w:rsidRDefault="00912E19" w:rsidP="00912E19">
      <w:pPr>
        <w:spacing w:line="360" w:lineRule="auto"/>
        <w:ind w:right="175"/>
        <w:jc w:val="both"/>
        <w:rPr>
          <w:sz w:val="28"/>
          <w:szCs w:val="28"/>
        </w:rPr>
      </w:pPr>
    </w:p>
    <w:p w:rsidR="00912E19" w:rsidRDefault="00912E19" w:rsidP="00912E19">
      <w:pPr>
        <w:widowControl w:val="0"/>
        <w:shd w:val="clear" w:color="auto" w:fill="FFFFFF"/>
        <w:ind w:right="-469"/>
        <w:jc w:val="both"/>
        <w:rPr>
          <w:sz w:val="18"/>
          <w:szCs w:val="20"/>
        </w:rPr>
      </w:pPr>
    </w:p>
    <w:p w:rsidR="00912E19" w:rsidRDefault="00912E19" w:rsidP="00912E19">
      <w:pPr>
        <w:widowControl w:val="0"/>
        <w:shd w:val="clear" w:color="auto" w:fill="FFFFFF"/>
        <w:ind w:right="-469"/>
        <w:jc w:val="both"/>
        <w:rPr>
          <w:sz w:val="18"/>
          <w:szCs w:val="20"/>
        </w:rPr>
      </w:pPr>
    </w:p>
    <w:p w:rsidR="00912E19" w:rsidRDefault="00912E19" w:rsidP="00912E19">
      <w:pPr>
        <w:widowControl w:val="0"/>
        <w:shd w:val="clear" w:color="auto" w:fill="FFFFFF"/>
        <w:ind w:right="-469"/>
        <w:jc w:val="both"/>
        <w:rPr>
          <w:sz w:val="18"/>
          <w:szCs w:val="20"/>
        </w:rPr>
      </w:pPr>
    </w:p>
    <w:p w:rsidR="00912E19" w:rsidRDefault="00912E19" w:rsidP="00912E19">
      <w:pPr>
        <w:widowControl w:val="0"/>
        <w:shd w:val="clear" w:color="auto" w:fill="FFFFFF"/>
        <w:ind w:right="-469"/>
        <w:jc w:val="both"/>
        <w:rPr>
          <w:sz w:val="18"/>
          <w:szCs w:val="20"/>
        </w:rPr>
      </w:pPr>
    </w:p>
    <w:p w:rsidR="00912E19" w:rsidRDefault="00912E19" w:rsidP="00912E19">
      <w:pPr>
        <w:widowControl w:val="0"/>
        <w:shd w:val="clear" w:color="auto" w:fill="FFFFFF"/>
        <w:ind w:right="-469"/>
        <w:jc w:val="both"/>
        <w:rPr>
          <w:sz w:val="18"/>
          <w:szCs w:val="20"/>
        </w:rPr>
      </w:pPr>
    </w:p>
    <w:p w:rsidR="00912E19" w:rsidRDefault="00912E19" w:rsidP="00912E19">
      <w:pPr>
        <w:widowControl w:val="0"/>
        <w:shd w:val="clear" w:color="auto" w:fill="FFFFFF"/>
        <w:ind w:right="-469"/>
        <w:jc w:val="both"/>
        <w:rPr>
          <w:sz w:val="18"/>
          <w:szCs w:val="20"/>
        </w:rPr>
      </w:pPr>
    </w:p>
    <w:p w:rsidR="00912E19" w:rsidRDefault="00912E19" w:rsidP="00912E19">
      <w:pPr>
        <w:widowControl w:val="0"/>
        <w:shd w:val="clear" w:color="auto" w:fill="FFFFFF"/>
        <w:ind w:right="-469"/>
        <w:jc w:val="both"/>
        <w:rPr>
          <w:sz w:val="18"/>
          <w:szCs w:val="20"/>
        </w:rPr>
      </w:pPr>
    </w:p>
    <w:p w:rsidR="00912E19" w:rsidRDefault="00912E19" w:rsidP="00912E19">
      <w:pPr>
        <w:widowControl w:val="0"/>
        <w:shd w:val="clear" w:color="auto" w:fill="FFFFFF"/>
        <w:ind w:right="-469"/>
        <w:jc w:val="both"/>
      </w:pPr>
      <w:r>
        <w:rPr>
          <w:sz w:val="18"/>
          <w:szCs w:val="20"/>
        </w:rPr>
        <w:t>А</w:t>
      </w:r>
      <w:r w:rsidRPr="0034629E">
        <w:rPr>
          <w:sz w:val="18"/>
          <w:szCs w:val="20"/>
        </w:rPr>
        <w:t xml:space="preserve">.А. Старков, </w:t>
      </w:r>
      <w:proofErr w:type="spellStart"/>
      <w:r w:rsidRPr="0034629E">
        <w:rPr>
          <w:sz w:val="18"/>
          <w:szCs w:val="20"/>
        </w:rPr>
        <w:t>тел.26</w:t>
      </w:r>
      <w:proofErr w:type="spellEnd"/>
      <w:r w:rsidRPr="0034629E">
        <w:rPr>
          <w:sz w:val="18"/>
          <w:szCs w:val="20"/>
        </w:rPr>
        <w:t>-77-90</w:t>
      </w:r>
    </w:p>
    <w:p w:rsidR="0048480F" w:rsidRDefault="0048480F"/>
    <w:sectPr w:rsidR="0048480F" w:rsidSect="00BA6D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19"/>
    <w:rsid w:val="0048480F"/>
    <w:rsid w:val="006A74FF"/>
    <w:rsid w:val="00887559"/>
    <w:rsid w:val="00912E19"/>
    <w:rsid w:val="00A1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912E1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912E1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cp:lastPrinted>2020-06-26T09:33:00Z</cp:lastPrinted>
  <dcterms:created xsi:type="dcterms:W3CDTF">2020-06-26T07:07:00Z</dcterms:created>
  <dcterms:modified xsi:type="dcterms:W3CDTF">2020-06-26T09:34:00Z</dcterms:modified>
</cp:coreProperties>
</file>