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t xml:space="preserve">     </w:t>
      </w:r>
      <w:r>
        <w:rPr/>
        <w:drawing>
          <wp:inline distT="0" distB="0" distL="0" distR="0">
            <wp:extent cx="2476500" cy="866775"/>
            <wp:effectExtent l="0" t="0" r="0" b="0"/>
            <wp:docPr id="1" name="Рисунок 1" descr="Основное лого 2 Ханты-Мансийский автономный округ – Ю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сновное лого 2 Ханты-Мансийский автономный округ – Югр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</w:t>
      </w:r>
    </w:p>
    <w:p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Style w:val="Strong"/>
          <w:rFonts w:ascii="Tinos" w:hAnsi="Tinos"/>
          <w:sz w:val="24"/>
          <w:szCs w:val="24"/>
        </w:rPr>
        <w:t xml:space="preserve">Росреестр Югры: итоги второго заседания Общественного совета при Управлении 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Управлении Росреестра по Ханты</w:t>
        <w:noBreakHyphen/>
        <w:t>Мансийскому автономному округу — Югре состоялось заседание Общественного совета, посвящённое ключевым аспектам деятельности Росреестра. Участники обсудили реализацию государственной программы «Национальная система пространственных данных» (НСПД), эффективность работы Управления по учётно</w:t>
        <w:noBreakHyphen/>
        <w:t>регистрационным действиям и совершенствование законодательства в сфере недвижимости.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Особое внимание было уделено госпрограмме НСПД. Руководитель Росреестра Югры </w:t>
      </w:r>
      <w:r>
        <w:rPr>
          <w:rFonts w:ascii="Tinos" w:hAnsi="Tinos"/>
          <w:b/>
          <w:bCs/>
          <w:sz w:val="24"/>
          <w:szCs w:val="24"/>
        </w:rPr>
        <w:t>Вячеслав Санников</w:t>
      </w:r>
      <w:r>
        <w:rPr>
          <w:rFonts w:ascii="Tinos" w:hAnsi="Tinos"/>
          <w:sz w:val="24"/>
          <w:szCs w:val="24"/>
        </w:rPr>
        <w:t xml:space="preserve"> подчеркнул значимость проекта:</w:t>
      </w:r>
    </w:p>
    <w:p>
      <w:pPr>
        <w:pStyle w:val="Normal"/>
        <w:rPr>
          <w:rFonts w:ascii="Tinos" w:hAnsi="Tinos"/>
          <w:i/>
          <w:i/>
          <w:iCs/>
          <w:sz w:val="24"/>
          <w:szCs w:val="24"/>
        </w:rPr>
      </w:pPr>
      <w:r>
        <w:rPr>
          <w:rFonts w:ascii="Tinos" w:hAnsi="Tinos"/>
          <w:i/>
          <w:iCs/>
          <w:sz w:val="24"/>
          <w:szCs w:val="24"/>
        </w:rPr>
        <w:t>«Национальная система пространственных данных — флагманский цифровой проект Росреестра, получивший полную государственную поддержку: одноимённая государственная программа и единая цифровая платформа утверждены Правительством Российской Федерации.</w:t>
      </w:r>
    </w:p>
    <w:p>
      <w:pPr>
        <w:pStyle w:val="Normal"/>
        <w:rPr>
          <w:rFonts w:ascii="Tinos" w:hAnsi="Tinos"/>
          <w:i/>
          <w:i/>
          <w:iCs/>
          <w:sz w:val="24"/>
          <w:szCs w:val="24"/>
        </w:rPr>
      </w:pPr>
      <w:r>
        <w:rPr>
          <w:rFonts w:ascii="Tinos" w:hAnsi="Tinos"/>
          <w:i/>
          <w:iCs/>
          <w:sz w:val="24"/>
          <w:szCs w:val="24"/>
        </w:rPr>
        <w:t>Платформа НСПД консолидирует и структурирует пространственные данные из федеральных, региональных и коммерческих систем, включая ЕГРН, ЕГРЗ, ФГИС ТП и другие. Благодаря принципу „одного окна“ доступ к актуальной и взаимоувязанной информации обеспечен для граждан, представителей бизнеса, органов государственной власти и местного самоуправления.</w:t>
      </w:r>
    </w:p>
    <w:p>
      <w:pPr>
        <w:pStyle w:val="Normal"/>
        <w:rPr>
          <w:rFonts w:ascii="Tinos" w:hAnsi="Tinos"/>
          <w:i/>
          <w:i/>
          <w:iCs/>
          <w:sz w:val="24"/>
          <w:szCs w:val="24"/>
        </w:rPr>
      </w:pPr>
      <w:r>
        <w:rPr>
          <w:rFonts w:ascii="Tinos" w:hAnsi="Tinos"/>
          <w:i/>
          <w:iCs/>
          <w:sz w:val="24"/>
          <w:szCs w:val="24"/>
        </w:rPr>
        <w:t>Это повышает прозрачность данных о земле и недвижимости, сокращает сроки получения услуг и создаёт основу для новых цифровых сервисов».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 данным Росреестра Югры, ежедневно портал НСПД посещают в среднем почти 1 200 пользователей. Всего авторизовано 855 тыс. пользователей, из них: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66 % — физические лица;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25 % — юридические лица;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9 % — уполномоченные органы.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Самыми востребованными сервисами в округе стали: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Карта НСПД;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Умный кадастр;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Государственная кадастровая оценка.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Владимир Крицкий</w:t>
      </w:r>
      <w:r>
        <w:rPr>
          <w:rFonts w:ascii="Tinos" w:hAnsi="Tinos"/>
          <w:sz w:val="24"/>
          <w:szCs w:val="24"/>
        </w:rPr>
        <w:t>, председатель Общественного совета и заместитель директора АО «ЮТЭК — Региональные сети», подтвердил важность системы: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i/>
          <w:iCs/>
          <w:sz w:val="24"/>
          <w:szCs w:val="24"/>
        </w:rPr>
        <w:t>«НСПД — важнейшая система, ценность которой невозможно переоценить. Она значительно упрощает работу с объектами недвижимости»,</w:t>
      </w:r>
      <w:r>
        <w:rPr>
          <w:rFonts w:ascii="Tinos" w:hAnsi="Tinos"/>
          <w:sz w:val="24"/>
          <w:szCs w:val="24"/>
        </w:rPr>
        <w:t xml:space="preserve"> — отметил он, добавив, что сам активно пользуется платформой.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ходе заседания обсудили оценку эффективности в сфере регистрации недвижимости. Акцент сделали на трёх ключевых аспектах: скорости, качестве услуг и уровне цифровизации. Достигнутые результаты:</w:t>
      </w:r>
    </w:p>
    <w:p>
      <w:pPr>
        <w:pStyle w:val="Normal"/>
        <w:numPr>
          <w:ilvl w:val="0"/>
          <w:numId w:val="2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доля электронных заявлений — 80,59 % от общего числа поступивших в орган регистрации прав;</w:t>
      </w:r>
    </w:p>
    <w:p>
      <w:pPr>
        <w:pStyle w:val="Normal"/>
        <w:numPr>
          <w:ilvl w:val="0"/>
          <w:numId w:val="2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 ипотеке — 95,79 %;</w:t>
      </w:r>
    </w:p>
    <w:p>
      <w:pPr>
        <w:pStyle w:val="Normal"/>
        <w:numPr>
          <w:ilvl w:val="0"/>
          <w:numId w:val="2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 договорам долевого участия — 99,72 %;</w:t>
      </w:r>
    </w:p>
    <w:p>
      <w:pPr>
        <w:pStyle w:val="Normal"/>
        <w:numPr>
          <w:ilvl w:val="0"/>
          <w:numId w:val="2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показатель электронного взаимодействия с органами власти и местного самоуправления третий год держится на уровне 100 %.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Ольга Улитина</w:t>
      </w:r>
      <w:r>
        <w:rPr>
          <w:rFonts w:ascii="Tinos" w:hAnsi="Tinos"/>
          <w:sz w:val="24"/>
          <w:szCs w:val="24"/>
        </w:rPr>
        <w:t xml:space="preserve">, член Общественного совета и региональный директор Югорского отделения ПАО «Сбербанк России», </w:t>
      </w:r>
      <w:r>
        <w:rPr>
          <w:rFonts w:ascii="Tinos" w:hAnsi="Tinos"/>
          <w:sz w:val="24"/>
          <w:szCs w:val="24"/>
        </w:rPr>
        <w:t xml:space="preserve">поблагодарила Росреестр Югры за слаженную работу и </w:t>
      </w:r>
      <w:r>
        <w:rPr>
          <w:rFonts w:ascii="Tinos" w:hAnsi="Tinos"/>
          <w:sz w:val="24"/>
          <w:szCs w:val="24"/>
        </w:rPr>
        <w:t>отметила успехи в цифровизации:</w:t>
      </w:r>
    </w:p>
    <w:p>
      <w:pPr>
        <w:pStyle w:val="Normal"/>
        <w:rPr>
          <w:rFonts w:ascii="Tinos" w:hAnsi="Tinos"/>
          <w:i/>
          <w:i/>
          <w:iCs/>
          <w:sz w:val="24"/>
          <w:szCs w:val="24"/>
        </w:rPr>
      </w:pPr>
      <w:r>
        <w:rPr>
          <w:rFonts w:ascii="Tinos" w:hAnsi="Tinos"/>
          <w:i/>
          <w:iCs/>
          <w:sz w:val="24"/>
          <w:szCs w:val="24"/>
        </w:rPr>
        <w:t>«Жители Югры первыми получили возможность пользоваться сервисом „Ипотека за 24 часа“. Наш регион был пилотным проектом, сейчас сервис успешно реализуется и пользуется высоким спросом. Его реализация напрямую зависит от слаженной и чёткой работы сотрудников Росреестра».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Росреестр Югры входит в число лидеров по Уральскому федеральному округу по срокам оказания госуслуг. С начала 2026 года доля лиц, положительно оценивающих качество работы Управления, составляет 99,95 %.</w:t>
      </w:r>
    </w:p>
    <w:p>
      <w:pPr>
        <w:pStyle w:val="Normal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завершение участникам представили анализ значительных изменений в законодательстве РФ, вступивших в силу с 1 января 2026 года, и тех, что вступят в силу в ближайшее время. Нововведения затрагивают: регистрацию прав на недвижимость; кадастровый учёт; управление земельными ресурсами; регулирование зон с особыми условиями использования территорий.</w:t>
      </w:r>
    </w:p>
    <w:p>
      <w:pPr>
        <w:pStyle w:val="Normal"/>
        <w:spacing w:before="0" w:after="16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charset w:val="01"/>
    <w:family w:val="roman"/>
    <w:pitch w:val="default"/>
  </w:font>
  <w:font w:name="Noto Sans Devanagari">
    <w:charset w:val="01"/>
    <w:family w:val="roman"/>
    <w:pitch w:val="default"/>
  </w:font>
  <w:font w:name="Tinos">
    <w:charset w:val="01"/>
    <w:family w:val="auto"/>
    <w:pitch w:val="variable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19a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u w:val="none" w:color="000000" w:themeColor="light1"/>
      <w:lang w:val="ru-RU" w:eastAsia="en-US" w:bidi="ar-SA"/>
    </w:rPr>
  </w:style>
  <w:style w:type="paragraph" w:styleId="Heading1">
    <w:name w:val="heading 1"/>
    <w:basedOn w:val="user1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Normal"/>
    <w:link w:val="2"/>
    <w:uiPriority w:val="9"/>
    <w:qFormat/>
    <w:rsid w:val="006b6a0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u w:val="none" w:color="FFFFFF" w:themeColor="light1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b6a0d"/>
    <w:pPr>
      <w:keepNext w:val="true"/>
      <w:keepLines/>
      <w:spacing w:lineRule="auto" w:line="276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u w:val="none" w:color="FFFFFF" w:themeColor="light1"/>
      <w:lang w:eastAsia="ru-RU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6b6a0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b6a0d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Strong">
    <w:name w:val="Strong"/>
    <w:basedOn w:val="DefaultParagraphFont"/>
    <w:uiPriority w:val="22"/>
    <w:qFormat/>
    <w:rsid w:val="006b6a0d"/>
    <w:rPr>
      <w:b/>
      <w:bCs/>
    </w:rPr>
  </w:style>
  <w:style w:type="character" w:styleId="Style10" w:customStyle="1">
    <w:name w:val="Без интервала Знак"/>
    <w:link w:val="NoSpacing"/>
    <w:uiPriority w:val="1"/>
    <w:qFormat/>
    <w:locked/>
    <w:rsid w:val="006b6a0d"/>
    <w:rPr>
      <w:rFonts w:ascii="Calibri" w:hAnsi="Calibri" w:eastAsia="Times New Roman" w:cs="Times New Roman"/>
      <w:lang w:eastAsia="ru-RU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0519af"/>
    <w:rPr>
      <w:rFonts w:ascii="Calibri" w:hAnsi="Calibri" w:eastAsia="Times New Roman" w:cs="Times New Roman"/>
      <w:b/>
      <w:bCs/>
      <w:i/>
      <w:iCs/>
      <w:color w:val="4F81BD"/>
      <w:lang w:val="x-none" w:eastAsia="x-non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9580b"/>
    <w:rPr>
      <w:rFonts w:ascii="Tahoma" w:hAnsi="Tahoma" w:cs="Tahoma"/>
      <w:sz w:val="16"/>
      <w:szCs w:val="16"/>
      <w:u w:val="none" w:color="000000" w:themeColor="light1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0"/>
    <w:uiPriority w:val="1"/>
    <w:qFormat/>
    <w:rsid w:val="006b6a0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u w:val="none" w:color="FFFFFF" w:themeColor="light1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0519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u w:val="none" w:color="FFFFFF" w:themeColor="light1"/>
      <w:lang w:eastAsia="ru-RU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0519af"/>
    <w:pPr>
      <w:pBdr>
        <w:bottom w:val="single" w:sz="4" w:space="4" w:color="4F81BD"/>
      </w:pBdr>
      <w:spacing w:lineRule="auto" w:line="276" w:before="200" w:after="280"/>
      <w:ind w:left="936" w:right="936"/>
    </w:pPr>
    <w:rPr>
      <w:rFonts w:ascii="Calibri" w:hAnsi="Calibri" w:eastAsia="Times New Roman" w:cs="Times New Roman"/>
      <w:b/>
      <w:bCs/>
      <w:i/>
      <w:iCs/>
      <w:color w:val="4F81BD"/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958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3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Абзац списка"/>
    <w:basedOn w:val="Normal"/>
    <w:qFormat/>
    <w:pPr>
      <w:ind w:hanging="0" w:left="708" w:right="0"/>
    </w:pPr>
    <w:rPr/>
  </w:style>
  <w:style w:type="paragraph" w:styleId="user4">
    <w:name w:val="Базовый (user)"/>
    <w:qFormat/>
    <w:pPr>
      <w:widowControl/>
      <w:bidi w:val="0"/>
      <w:spacing w:lineRule="atLeast" w:line="200" w:before="0" w:after="0"/>
      <w:jc w:val="left"/>
    </w:pPr>
    <w:rPr>
      <w:rFonts w:ascii="Noto Sans Devanagari" w:hAnsi="Noto Sans Devanagari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ru-RU" w:eastAsia="en-US" w:bidi="ar-SA"/>
    </w:rPr>
  </w:style>
  <w:style w:type="paragraph" w:styleId="Style17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LibreOffice/25.2.6.2$Linux_X86_64 LibreOffice_project/520$Build-2</Application>
  <AppVersion>15.0000</AppVersion>
  <Pages>2</Pages>
  <Words>427</Words>
  <Characters>3051</Characters>
  <CharactersWithSpaces>3576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2024-03-28T06:58:00Z</dcterms:created>
  <dc:creator>Приемная</dc:creator>
  <dc:description/>
  <dc:language>ru-RU</dc:language>
  <cp:lastModifiedBy>Наталья Сергеевна Глуховская</cp:lastModifiedBy>
  <cp:lastPrinted>2026-01-23T16:29:33Z</cp:lastPrinted>
  <dcterms:modified xsi:type="dcterms:W3CDTF">2026-06-10T12:29:36Z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