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2F7ECF">
        <w:rPr>
          <w:rFonts w:ascii="Times New Roman" w:hAnsi="Times New Roman" w:cs="Times New Roman"/>
          <w:b/>
          <w:bCs/>
          <w:iCs/>
          <w:sz w:val="28"/>
          <w:szCs w:val="28"/>
        </w:rPr>
        <w:t>Миграционная ситуация в России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b/>
          <w:bCs/>
          <w:iCs/>
          <w:sz w:val="28"/>
          <w:szCs w:val="28"/>
        </w:rPr>
        <w:t>и стереотипы о миграции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7F07AE" w:rsidRDefault="007F07AE" w:rsidP="007F0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F07AE" w:rsidRPr="00ED7513" w:rsidRDefault="007F07AE" w:rsidP="007F07A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D7513">
        <w:rPr>
          <w:rFonts w:ascii="Times New Roman" w:hAnsi="Times New Roman" w:cs="Times New Roman"/>
          <w:b/>
          <w:bCs/>
          <w:iCs/>
          <w:sz w:val="28"/>
          <w:szCs w:val="28"/>
        </w:rPr>
        <w:t>Миграционная ситуация в России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iCs/>
          <w:sz w:val="28"/>
          <w:szCs w:val="28"/>
        </w:rPr>
        <w:t>и стереотипы о миграции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>
        <w:rPr>
          <w:rFonts w:ascii="Times New Roman" w:hAnsi="Times New Roman" w:cs="Times New Roman"/>
          <w:bCs/>
          <w:iCs/>
          <w:sz w:val="28"/>
          <w:szCs w:val="20"/>
        </w:rPr>
        <w:t>М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играционны</w:t>
      </w:r>
      <w:r>
        <w:rPr>
          <w:rFonts w:ascii="Times New Roman" w:hAnsi="Times New Roman" w:cs="Times New Roman"/>
          <w:bCs/>
          <w:iCs/>
          <w:sz w:val="28"/>
          <w:szCs w:val="20"/>
        </w:rPr>
        <w:t>е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процесс</w:t>
      </w:r>
      <w:r>
        <w:rPr>
          <w:rFonts w:ascii="Times New Roman" w:hAnsi="Times New Roman" w:cs="Times New Roman"/>
          <w:bCs/>
          <w:iCs/>
          <w:sz w:val="28"/>
          <w:szCs w:val="20"/>
        </w:rPr>
        <w:t>ы имеют большое значение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социальной, экономической и политической жизни Российской Федерации и Ханты-Мансийского</w:t>
      </w:r>
      <w:r>
        <w:rPr>
          <w:rFonts w:ascii="Times New Roman" w:hAnsi="Times New Roman" w:cs="Times New Roman"/>
          <w:bCs/>
          <w:iCs/>
          <w:sz w:val="28"/>
          <w:szCs w:val="20"/>
        </w:rPr>
        <w:t xml:space="preserve"> автономного округа –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Югры.</w:t>
      </w:r>
      <w:r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Геостратегическое положение РФ, территориальная протяженность, неравномерное экономическое развитие регионов страны и участие России в интеграционных объединениях на постсоветском пространстве оказывают решающее влияние на интенсивность и направленность миграционных потоков. Ханты-Мансийский автономный округ – Югра является лидером в Российской Федерации по добыче нефти и производству электроэнергии, и занимает второе место по добыче газа и объему промышленного производства. </w:t>
      </w:r>
      <w:proofErr w:type="gramStart"/>
      <w:r w:rsidRPr="002F7ECF">
        <w:rPr>
          <w:rFonts w:ascii="Times New Roman" w:hAnsi="Times New Roman" w:cs="Times New Roman"/>
          <w:bCs/>
          <w:iCs/>
          <w:sz w:val="28"/>
          <w:szCs w:val="20"/>
        </w:rPr>
        <w:t>При этом Югра находится в семерке ведущих субъектов РФ, привлекательных для внешней трудовой миграции: в 2017-2019 годы (т.е. до введения ограничительных мер, связанных с эпидемиологической обстановкой) в Югру ежегодно прибывал</w:t>
      </w:r>
      <w:r>
        <w:rPr>
          <w:rFonts w:ascii="Times New Roman" w:hAnsi="Times New Roman" w:cs="Times New Roman"/>
          <w:bCs/>
          <w:iCs/>
          <w:sz w:val="28"/>
          <w:szCs w:val="20"/>
        </w:rPr>
        <w:t>и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и вставал</w:t>
      </w:r>
      <w:r>
        <w:rPr>
          <w:rFonts w:ascii="Times New Roman" w:hAnsi="Times New Roman" w:cs="Times New Roman"/>
          <w:bCs/>
          <w:iCs/>
          <w:sz w:val="28"/>
          <w:szCs w:val="20"/>
        </w:rPr>
        <w:t>и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на миграционный учет около 200 тыс. иностранных граждан (даже в период противоэпидемиологических ограничений в 2020 году в округ прибыл</w:t>
      </w:r>
      <w:r>
        <w:rPr>
          <w:rFonts w:ascii="Times New Roman" w:hAnsi="Times New Roman" w:cs="Times New Roman"/>
          <w:bCs/>
          <w:iCs/>
          <w:sz w:val="28"/>
          <w:szCs w:val="20"/>
        </w:rPr>
        <w:t>и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127 тыс. иностранных граждан).</w:t>
      </w:r>
      <w:proofErr w:type="gramEnd"/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С целью трудоустройства в 2019 году в автономный округ прибыло более 71 тыс. человек; с частными целями прибыло более 22 тыс. человек; с целью учебы – более 2 тыс. человек туристы – менее 1 тыс. человек</w:t>
      </w:r>
      <w:r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1"/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>
        <w:rPr>
          <w:rFonts w:ascii="Times New Roman" w:hAnsi="Times New Roman" w:cs="Times New Roman"/>
          <w:bCs/>
          <w:iCs/>
          <w:sz w:val="28"/>
          <w:szCs w:val="20"/>
        </w:rPr>
        <w:t>Неизменно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среди всех пребывающих в автономный округ иностранцев остается доля граждан СНГ – 98% (в 2019 г. – 193 тыс. человек). Внутри этой категории более 77% составляют граждане среднеазиатских государств и около 10% – граждане Украины. Первая пятерка государств-доноров внешней миграции в Югру за 2019 год выглядит так: </w:t>
      </w:r>
      <w:proofErr w:type="gramStart"/>
      <w:r w:rsidRPr="002F7ECF">
        <w:rPr>
          <w:rFonts w:ascii="Times New Roman" w:hAnsi="Times New Roman" w:cs="Times New Roman"/>
          <w:bCs/>
          <w:iCs/>
          <w:sz w:val="28"/>
          <w:szCs w:val="20"/>
        </w:rPr>
        <w:t>Таджикистан (68 тыс. человек), Узбекистан (51 тыс. человек), Кыргызстан (около 22 тыс. человек), Украина (20 тыс. человек), Азербайджан (14 тыс. человек), Казахстан (10 тыс. человек).</w:t>
      </w:r>
      <w:proofErr w:type="gramEnd"/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proofErr w:type="gramStart"/>
      <w:r w:rsidRPr="002F7ECF">
        <w:rPr>
          <w:rFonts w:ascii="Times New Roman" w:hAnsi="Times New Roman" w:cs="Times New Roman"/>
          <w:bCs/>
          <w:iCs/>
          <w:sz w:val="28"/>
          <w:szCs w:val="20"/>
        </w:rPr>
        <w:t>Менее значительными донорами миграции выступают Беларусь и Армения (каждая около 3 тыс. человек), Молдова (менее 2 тыс. человек)</w:t>
      </w:r>
      <w:r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2"/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Показательна динамика миграционных процессов: снижается количество граждан Украины, Молдавии, Беларуси, Казахстана, Таджикистана, Азербайджана, Армении и Узбекистана; </w:t>
      </w:r>
      <w:r>
        <w:rPr>
          <w:rFonts w:ascii="Times New Roman" w:hAnsi="Times New Roman" w:cs="Times New Roman"/>
          <w:bCs/>
          <w:iCs/>
          <w:sz w:val="28"/>
          <w:szCs w:val="20"/>
        </w:rPr>
        <w:t>растет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количество граждан Кыргызстана</w:t>
      </w:r>
      <w:r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3"/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  <w:proofErr w:type="gramEnd"/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Основными центрами притяжения внешней миграции в автономном округе по количеству иностранцев, вставших на миграционный учет, остаются </w:t>
      </w:r>
      <w:r>
        <w:rPr>
          <w:rFonts w:ascii="Times New Roman" w:hAnsi="Times New Roman" w:cs="Times New Roman"/>
          <w:bCs/>
          <w:iCs/>
          <w:sz w:val="28"/>
          <w:szCs w:val="20"/>
        </w:rPr>
        <w:t xml:space="preserve">города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Сургут, Нижневартовск, Ханты-Мансийск</w:t>
      </w:r>
      <w:r>
        <w:rPr>
          <w:rFonts w:ascii="Times New Roman" w:hAnsi="Times New Roman" w:cs="Times New Roman"/>
          <w:bCs/>
          <w:iCs/>
          <w:sz w:val="28"/>
          <w:szCs w:val="20"/>
        </w:rPr>
        <w:t xml:space="preserve">, а также </w:t>
      </w:r>
      <w:proofErr w:type="spellStart"/>
      <w:r w:rsidRPr="002F7ECF">
        <w:rPr>
          <w:rFonts w:ascii="Times New Roman" w:hAnsi="Times New Roman" w:cs="Times New Roman"/>
          <w:bCs/>
          <w:iCs/>
          <w:sz w:val="28"/>
          <w:szCs w:val="20"/>
        </w:rPr>
        <w:t>Нижневартовский</w:t>
      </w:r>
      <w:proofErr w:type="spellEnd"/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район. Наибольшая доля иностранных граждан,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lastRenderedPageBreak/>
        <w:t xml:space="preserve">прибывших в Югру с целью трудоустройства, </w:t>
      </w:r>
      <w:r>
        <w:rPr>
          <w:rFonts w:ascii="Times New Roman" w:hAnsi="Times New Roman" w:cs="Times New Roman"/>
          <w:bCs/>
          <w:iCs/>
          <w:sz w:val="28"/>
          <w:szCs w:val="20"/>
        </w:rPr>
        <w:t>и поставленных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на миграционный учет именно в этих муниципальных образованиях. Среди муниципалитетов</w:t>
      </w:r>
      <w:r>
        <w:rPr>
          <w:rFonts w:ascii="Times New Roman" w:hAnsi="Times New Roman" w:cs="Times New Roman"/>
          <w:bCs/>
          <w:iCs/>
          <w:sz w:val="28"/>
          <w:szCs w:val="20"/>
        </w:rPr>
        <w:t>,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привлекательных для внешней трудовой миграции, выделяются </w:t>
      </w:r>
      <w:r>
        <w:rPr>
          <w:rFonts w:ascii="Times New Roman" w:hAnsi="Times New Roman" w:cs="Times New Roman"/>
          <w:bCs/>
          <w:iCs/>
          <w:sz w:val="28"/>
          <w:szCs w:val="20"/>
        </w:rPr>
        <w:t xml:space="preserve">города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Нефтеюганск, </w:t>
      </w:r>
      <w:proofErr w:type="spellStart"/>
      <w:r w:rsidRPr="002F7ECF">
        <w:rPr>
          <w:rFonts w:ascii="Times New Roman" w:hAnsi="Times New Roman" w:cs="Times New Roman"/>
          <w:bCs/>
          <w:iCs/>
          <w:sz w:val="28"/>
          <w:szCs w:val="20"/>
        </w:rPr>
        <w:t>Нягань</w:t>
      </w:r>
      <w:proofErr w:type="spellEnd"/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и Когалым</w:t>
      </w:r>
      <w:r>
        <w:rPr>
          <w:rFonts w:ascii="Times New Roman" w:hAnsi="Times New Roman" w:cs="Times New Roman"/>
          <w:bCs/>
          <w:iCs/>
          <w:sz w:val="28"/>
          <w:szCs w:val="20"/>
        </w:rPr>
        <w:t>, а также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proofErr w:type="spellStart"/>
      <w:r w:rsidRPr="002F7ECF">
        <w:rPr>
          <w:rFonts w:ascii="Times New Roman" w:hAnsi="Times New Roman" w:cs="Times New Roman"/>
          <w:bCs/>
          <w:iCs/>
          <w:sz w:val="28"/>
          <w:szCs w:val="20"/>
        </w:rPr>
        <w:t>Сургутский</w:t>
      </w:r>
      <w:proofErr w:type="spellEnd"/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район. </w:t>
      </w:r>
    </w:p>
    <w:p w:rsidR="007F07AE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На 1 января 2021 года в </w:t>
      </w:r>
      <w:r>
        <w:rPr>
          <w:rFonts w:ascii="Times New Roman" w:hAnsi="Times New Roman" w:cs="Times New Roman"/>
          <w:bCs/>
          <w:iCs/>
          <w:sz w:val="28"/>
          <w:szCs w:val="20"/>
        </w:rPr>
        <w:t>Югре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состояли на миграционном учет</w:t>
      </w:r>
      <w:r>
        <w:rPr>
          <w:rFonts w:ascii="Times New Roman" w:hAnsi="Times New Roman" w:cs="Times New Roman"/>
          <w:bCs/>
          <w:iCs/>
          <w:sz w:val="28"/>
          <w:szCs w:val="20"/>
        </w:rPr>
        <w:t>е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более 31 тыс. иностранных граждан. Внешние трудовые мигранты (цель </w:t>
      </w:r>
      <w:proofErr w:type="spellStart"/>
      <w:r w:rsidRPr="002F7ECF">
        <w:rPr>
          <w:rFonts w:ascii="Times New Roman" w:hAnsi="Times New Roman" w:cs="Times New Roman"/>
          <w:bCs/>
          <w:iCs/>
          <w:sz w:val="28"/>
          <w:szCs w:val="20"/>
        </w:rPr>
        <w:t>вьезда</w:t>
      </w:r>
      <w:proofErr w:type="spellEnd"/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– </w:t>
      </w:r>
      <w:r>
        <w:rPr>
          <w:rFonts w:ascii="Times New Roman" w:hAnsi="Times New Roman" w:cs="Times New Roman"/>
          <w:bCs/>
          <w:iCs/>
          <w:sz w:val="28"/>
          <w:szCs w:val="20"/>
        </w:rPr>
        <w:t>трудоустройство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) составляют более 24 тыс. человек, 96% из них – граждане стран СНГ. При этом число действующих патентов и разрешений на работу на этот период превышает данное количество</w:t>
      </w:r>
      <w:r>
        <w:rPr>
          <w:rFonts w:ascii="Times New Roman" w:hAnsi="Times New Roman" w:cs="Times New Roman"/>
          <w:bCs/>
          <w:iCs/>
          <w:sz w:val="28"/>
          <w:szCs w:val="20"/>
        </w:rPr>
        <w:t>.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0"/>
        </w:rPr>
        <w:t>С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ледовательно</w:t>
      </w:r>
      <w:r>
        <w:rPr>
          <w:rFonts w:ascii="Times New Roman" w:hAnsi="Times New Roman" w:cs="Times New Roman"/>
          <w:bCs/>
          <w:iCs/>
          <w:sz w:val="28"/>
          <w:szCs w:val="20"/>
        </w:rPr>
        <w:t>,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почти все иностранные работники имеют патенты либо разрешения на работу, либо имели право на трудоустройство без дополните</w:t>
      </w:r>
      <w:r>
        <w:rPr>
          <w:rFonts w:ascii="Times New Roman" w:hAnsi="Times New Roman" w:cs="Times New Roman"/>
          <w:bCs/>
          <w:iCs/>
          <w:sz w:val="28"/>
          <w:szCs w:val="20"/>
        </w:rPr>
        <w:t>льных разрешительных документов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0"/>
        </w:rPr>
        <w:t>(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будучи гражданами государств-членов ЕАЭС</w:t>
      </w:r>
      <w:r>
        <w:rPr>
          <w:rFonts w:ascii="Times New Roman" w:hAnsi="Times New Roman" w:cs="Times New Roman"/>
          <w:bCs/>
          <w:iCs/>
          <w:sz w:val="28"/>
          <w:szCs w:val="20"/>
        </w:rPr>
        <w:t>)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. Таким образом, количество трудовых мигрантов в Югре растет – об этом свидетельствует и рост количества оформленных и действующих патентов на работу: всего на начало 2019 года значилось действительных 25 тыс. патентов, а на начало 2020 года уже 31 тыс. патентов</w:t>
      </w:r>
      <w:r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4"/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</w:p>
    <w:p w:rsidR="007F07AE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>Количество граждан государств-членов ЕАЭС (Кыргызстан, Казахстан, Армения и Беларусь) и членов их семей (38 тыс. человек в 2019 году) составляет 20% от всех иностранных граждан, прибывших в автономный округ. Граждане государств ЕАЭС имеют право на трудоустройство в РФ на равных с россиянами основаниях, вне учета ограничений доступа на рынок труда, и обладают равным с гражданами РФ доступом к социальным гарантиям. Члены семей граждан ЕАЭС имеют право на временное пребывание в РФ на основании и на срок действия трудового либо гражданско-правового договора трудящегося.</w:t>
      </w:r>
    </w:p>
    <w:p w:rsidR="007F07AE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>Отдельным направлением миграционных процессов в РФ является вынужденная миграция иностранных граждан – беженцев и лиц, ищущих временное убежище (вынужденных переселенцев). В Югре лица, имеющие статус беженца не зарегистрированы. Неизменно снижается и количество лиц, имеющих статус вынужденного переселенца. На 1 января 2019 года в автономном округе пребывало 17 таких вынужденных мигрантов, к 2020 году их осталось только 9</w:t>
      </w:r>
      <w:r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5"/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Особое значение для </w:t>
      </w:r>
      <w:r>
        <w:rPr>
          <w:rFonts w:ascii="Times New Roman" w:hAnsi="Times New Roman" w:cs="Times New Roman"/>
          <w:bCs/>
          <w:iCs/>
          <w:sz w:val="28"/>
          <w:szCs w:val="20"/>
        </w:rPr>
        <w:t xml:space="preserve">регионов 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РФ с демографической и социокультурной точки зрения имеет долгосрочная переселенческая миграция. Лица, вступившие в процесс натурализации (приобретения гражданства РФ), находятся в статусе временно либо постоянно проживающих в РФ иностранных граждан. На начало 2020 года в Югре проживало более 7,7 тыс. человек, имеющих разрешение на временное проживание на 3 года (РВП) и 10,6 тыс. человек, имеющих вид на жительство на 5 лет (ВЖ). Гражданство РФ </w:t>
      </w:r>
      <w:r w:rsidRPr="0023331F">
        <w:rPr>
          <w:rFonts w:ascii="Times New Roman" w:hAnsi="Times New Roman" w:cs="Times New Roman"/>
          <w:bCs/>
          <w:iCs/>
          <w:sz w:val="28"/>
          <w:szCs w:val="20"/>
        </w:rPr>
        <w:t>за 2019 год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 получили 6 284 человека</w:t>
      </w:r>
      <w:r>
        <w:rPr>
          <w:rFonts w:ascii="Times New Roman" w:hAnsi="Times New Roman" w:cs="Times New Roman"/>
          <w:bCs/>
          <w:iCs/>
          <w:sz w:val="28"/>
          <w:szCs w:val="20"/>
        </w:rPr>
        <w:t>, в 2020 году – 7785 человек</w:t>
      </w:r>
      <w:r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6"/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.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lastRenderedPageBreak/>
        <w:t xml:space="preserve">Высокая интенсивность миграционных процессов и большое количество внутренних и внешних мигрантов, находящихся в стране, в условиях недостатка объективной информации иногда приводит к формированию у населения негативных стереотипов о миграции и мигрантах. Несмотря на кажущуюся «очевидность», стереотипы о мигрантах имеют иррациональный характер и, как правило, не выдерживают проверки с использованием научных и статистических данных. Опасность негативных стереотипов нельзя недооценивать: тиражируемые средствами массовой информации и подогреваемые экстремистскими группами </w:t>
      </w:r>
      <w:r>
        <w:rPr>
          <w:rFonts w:ascii="Times New Roman" w:hAnsi="Times New Roman" w:cs="Times New Roman"/>
          <w:sz w:val="28"/>
          <w:szCs w:val="28"/>
        </w:rPr>
        <w:t xml:space="preserve">негативные </w:t>
      </w:r>
      <w:r w:rsidRPr="002F7ECF">
        <w:rPr>
          <w:rFonts w:ascii="Times New Roman" w:hAnsi="Times New Roman" w:cs="Times New Roman"/>
          <w:sz w:val="28"/>
          <w:szCs w:val="28"/>
        </w:rPr>
        <w:t xml:space="preserve">стереотипные представления о мигрантах могут спровоцировать конфликтные ситуации. Таким образом, распространение объективной информации о миграционных процессах,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2F7ECF">
        <w:rPr>
          <w:rFonts w:ascii="Times New Roman" w:hAnsi="Times New Roman" w:cs="Times New Roman"/>
          <w:sz w:val="28"/>
          <w:szCs w:val="28"/>
        </w:rPr>
        <w:t xml:space="preserve"> важным условием профилактики экстремизма и обеспечения межнационального согласия. </w:t>
      </w:r>
      <w:r>
        <w:rPr>
          <w:rFonts w:ascii="Times New Roman" w:hAnsi="Times New Roman" w:cs="Times New Roman"/>
          <w:sz w:val="28"/>
          <w:szCs w:val="28"/>
        </w:rPr>
        <w:t>Далее приведены</w:t>
      </w:r>
      <w:r w:rsidRPr="002F7ECF">
        <w:rPr>
          <w:rFonts w:ascii="Times New Roman" w:hAnsi="Times New Roman" w:cs="Times New Roman"/>
          <w:sz w:val="28"/>
          <w:szCs w:val="28"/>
        </w:rPr>
        <w:t xml:space="preserve"> несколько </w:t>
      </w:r>
      <w:r>
        <w:rPr>
          <w:rFonts w:ascii="Times New Roman" w:hAnsi="Times New Roman" w:cs="Times New Roman"/>
          <w:sz w:val="28"/>
          <w:szCs w:val="28"/>
        </w:rPr>
        <w:t xml:space="preserve">примеров </w:t>
      </w:r>
      <w:r w:rsidRPr="002F7ECF">
        <w:rPr>
          <w:rFonts w:ascii="Times New Roman" w:hAnsi="Times New Roman" w:cs="Times New Roman"/>
          <w:sz w:val="28"/>
          <w:szCs w:val="28"/>
        </w:rPr>
        <w:t>основных стереотипов об иностранн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F7ECF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F7ECF">
        <w:rPr>
          <w:rFonts w:ascii="Times New Roman" w:hAnsi="Times New Roman" w:cs="Times New Roman"/>
          <w:sz w:val="28"/>
          <w:szCs w:val="28"/>
        </w:rPr>
        <w:t xml:space="preserve"> мигра</w:t>
      </w:r>
      <w:r>
        <w:rPr>
          <w:rFonts w:ascii="Times New Roman" w:hAnsi="Times New Roman" w:cs="Times New Roman"/>
          <w:sz w:val="28"/>
          <w:szCs w:val="28"/>
        </w:rPr>
        <w:t>нтах</w:t>
      </w:r>
      <w:r w:rsidRPr="002F7ECF">
        <w:rPr>
          <w:rFonts w:ascii="Times New Roman" w:hAnsi="Times New Roman" w:cs="Times New Roman"/>
          <w:sz w:val="28"/>
          <w:szCs w:val="28"/>
        </w:rPr>
        <w:t>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1. «В России много нелегальных мигрантов».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>Это очень распространенное заблуждение, основанное на мифе о том, что в стране, якобы, находится настолько большое количество нелегальных мигрантов, что никто не знает их настоящей численности.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Подавляющее большинство иностранных работников – граждане СНГ, которые легально въезжают на территорию РФ и в Югру в безвизовом порядке, получают въездной штамп в паспорте и миграционную карту, затем становятся на миграционный учет, обращаются за документами, дающими право на трудоустройство, заключают трудовые договора. Данные о каждом из полученных документов, дающих мигранту право пребывать на территории РФ (миграционная карта, уведомление о постановке на миграционный учет, патент на работу, трудовой договор) и сроках его действия и оформления постоянно поступают в Центральную базу данных учета иностранных граждан (ЦБДУИГ). Помимо предоставления личных и паспортных данных, трудовые мигранты подлежат дактилоскопической регистрации, проверяется состояние их здоровья. </w:t>
      </w:r>
      <w:proofErr w:type="gramStart"/>
      <w:r w:rsidRPr="002F7ECF">
        <w:rPr>
          <w:rFonts w:ascii="Times New Roman" w:hAnsi="Times New Roman" w:cs="Times New Roman"/>
          <w:sz w:val="28"/>
          <w:szCs w:val="28"/>
        </w:rPr>
        <w:t xml:space="preserve">В случае отсутствия в ЦБДУИГ обновленных данных о продлении срока действия данных миграционных документов либо появления иных оснований на пребывание в РФ в течение 30 дней, в отношении мигранта выносится решение о </w:t>
      </w:r>
      <w:proofErr w:type="spellStart"/>
      <w:r w:rsidRPr="002F7ECF">
        <w:rPr>
          <w:rFonts w:ascii="Times New Roman" w:hAnsi="Times New Roman" w:cs="Times New Roman"/>
          <w:sz w:val="28"/>
          <w:szCs w:val="28"/>
        </w:rPr>
        <w:t>неразрешении</w:t>
      </w:r>
      <w:proofErr w:type="spellEnd"/>
      <w:r w:rsidRPr="002F7ECF">
        <w:rPr>
          <w:rFonts w:ascii="Times New Roman" w:hAnsi="Times New Roman" w:cs="Times New Roman"/>
          <w:sz w:val="28"/>
          <w:szCs w:val="28"/>
        </w:rPr>
        <w:t xml:space="preserve"> на въезд в РФ, влекущее невозможность его легализации на территории России на срок от 3 до 10 лет.</w:t>
      </w:r>
      <w:proofErr w:type="gramEnd"/>
      <w:r w:rsidRPr="002F7ECF">
        <w:rPr>
          <w:rFonts w:ascii="Times New Roman" w:hAnsi="Times New Roman" w:cs="Times New Roman"/>
          <w:sz w:val="28"/>
          <w:szCs w:val="28"/>
        </w:rPr>
        <w:t xml:space="preserve"> Всего за время действия текущего законодательства въе</w:t>
      </w:r>
      <w:proofErr w:type="gramStart"/>
      <w:r w:rsidRPr="002F7ECF">
        <w:rPr>
          <w:rFonts w:ascii="Times New Roman" w:hAnsi="Times New Roman" w:cs="Times New Roman"/>
          <w:sz w:val="28"/>
          <w:szCs w:val="28"/>
        </w:rPr>
        <w:t>зд в РФ</w:t>
      </w:r>
      <w:proofErr w:type="gramEnd"/>
      <w:r w:rsidRPr="002F7ECF">
        <w:rPr>
          <w:rFonts w:ascii="Times New Roman" w:hAnsi="Times New Roman" w:cs="Times New Roman"/>
          <w:sz w:val="28"/>
          <w:szCs w:val="28"/>
        </w:rPr>
        <w:t xml:space="preserve"> был не разрешен более чем 1,85 млн. иностранных граждан. В отношении </w:t>
      </w:r>
      <w:proofErr w:type="gramStart"/>
      <w:r w:rsidRPr="002F7ECF">
        <w:rPr>
          <w:rFonts w:ascii="Times New Roman" w:hAnsi="Times New Roman" w:cs="Times New Roman"/>
          <w:sz w:val="28"/>
          <w:szCs w:val="28"/>
        </w:rPr>
        <w:t>нарушителей-иностранных</w:t>
      </w:r>
      <w:proofErr w:type="gramEnd"/>
      <w:r w:rsidRPr="002F7ECF">
        <w:rPr>
          <w:rFonts w:ascii="Times New Roman" w:hAnsi="Times New Roman" w:cs="Times New Roman"/>
          <w:sz w:val="28"/>
          <w:szCs w:val="28"/>
        </w:rPr>
        <w:t xml:space="preserve"> граждан, прибывших в Югру, с 2010 года вынесено 44,4 тыс. таких запретов на въезд в РФ</w:t>
      </w:r>
      <w:r w:rsidRPr="002F7ECF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2F7ECF">
        <w:rPr>
          <w:rFonts w:ascii="Times New Roman" w:hAnsi="Times New Roman" w:cs="Times New Roman"/>
          <w:sz w:val="28"/>
          <w:szCs w:val="28"/>
        </w:rPr>
        <w:t>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Основными факторами риска, влияющими на законность пребывания трудовых мигрантов на территории РФ, являются дороговизна и затрудненный доступ к оформлению документов, дающих право на работу и пребывание иностранных граждан в РФ, а также отдельные </w:t>
      </w:r>
      <w:r w:rsidRPr="002F7ECF">
        <w:rPr>
          <w:rFonts w:ascii="Times New Roman" w:hAnsi="Times New Roman" w:cs="Times New Roman"/>
          <w:sz w:val="28"/>
          <w:szCs w:val="28"/>
        </w:rPr>
        <w:lastRenderedPageBreak/>
        <w:t>недобросовестные посредники и работодатели, не выполняющие требований российского миграционного законодательства. Среди нарушений, которые допускают сами мигранты – несоответствие фактической и указанной в миграционной карте цели пребывания в РФ, нарушения порядка осуществления трудовой деятельности, нелегальное трудоустройство, несвоевременное продление миграционных документов.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sz w:val="28"/>
          <w:szCs w:val="28"/>
        </w:rPr>
        <w:t>виду безвизового режима въезда со странами происхождения мигрантов проблема нелегального въезда в РФ практически отсутствует – число такого рода незаконных мигрантов ничтожно мало. Количество нелегально пребывающих в Росси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7ECF">
        <w:rPr>
          <w:rFonts w:ascii="Times New Roman" w:hAnsi="Times New Roman" w:cs="Times New Roman"/>
          <w:sz w:val="28"/>
          <w:szCs w:val="28"/>
        </w:rPr>
        <w:t xml:space="preserve"> мигрантов примерно соответствует количеству представлений на закрытие иностранным гражданам въезда, и не превыша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7ECF">
        <w:rPr>
          <w:rFonts w:ascii="Times New Roman" w:hAnsi="Times New Roman" w:cs="Times New Roman"/>
          <w:sz w:val="28"/>
          <w:szCs w:val="28"/>
        </w:rPr>
        <w:t>т 210-250 тыс. человек. Соответственно в Югре это количество составляет не более 4,5 тыс. иностранцев в год.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E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7E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ECF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2F7ECF">
        <w:rPr>
          <w:rFonts w:ascii="Times New Roman" w:hAnsi="Times New Roman" w:cs="Times New Roman"/>
          <w:sz w:val="28"/>
          <w:szCs w:val="28"/>
        </w:rPr>
        <w:t xml:space="preserve"> автономном округе – Югре в 2018 году исполнено 1889 решений о выдворении иностранных граждан (в 2019 году – 1072)</w:t>
      </w:r>
      <w:r w:rsidRPr="002F7ECF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2F7ECF">
        <w:rPr>
          <w:rFonts w:ascii="Times New Roman" w:hAnsi="Times New Roman" w:cs="Times New Roman"/>
          <w:sz w:val="28"/>
          <w:szCs w:val="28"/>
        </w:rPr>
        <w:t>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2. «Среди мигрантов высокий уровень преступности».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Данный стереотип базируется на мифе о повышенной криминальности мигрантов и легко опровергается официальными данными о преступности в автономном округе. Так, в 2019 году в Югре было зарегистрировано более 20 тыс. преступлений. Иностранными гражданами совершено 389 преступлений, т.е. менее 2% от всего количества преступлений. </w:t>
      </w:r>
      <w:proofErr w:type="gramStart"/>
      <w:r w:rsidRPr="002F7ECF">
        <w:rPr>
          <w:rFonts w:ascii="Times New Roman" w:hAnsi="Times New Roman" w:cs="Times New Roman"/>
          <w:sz w:val="28"/>
          <w:szCs w:val="28"/>
        </w:rPr>
        <w:t xml:space="preserve">Преступность мигрантов имеет выраженную специфику, связанную с неблагоприятным социально-экономическим положением ряда категорий иностранных граждан: так 27% преступлений, совершенных иностранцами, составляют корыстные преступления (в основном – кражи продуктов питания и одежды из сетевых магазинов и гипермаркетов), еще 9% – использование заведомо подложных миграционных документов (миграционных карт и патентов) и только 1,5% </w:t>
      </w:r>
      <w:r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Pr="002F7ECF">
        <w:rPr>
          <w:rFonts w:ascii="Times New Roman" w:hAnsi="Times New Roman" w:cs="Times New Roman"/>
          <w:sz w:val="28"/>
          <w:szCs w:val="28"/>
        </w:rPr>
        <w:t>против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proofErr w:type="gramEnd"/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>Таким образом, иностранные граждане, составляя в 2019 году 2,2% фактического населения в автономном округе, совершили только около 1,9% преступлений, 2/3 из которых – преступления небольшой тяжести. Беспокойство может вызывать большое количество преступлений, совершенных в 2019 году в Югре в отношении иностранцев (165)</w:t>
      </w:r>
      <w:r w:rsidRPr="002F7ECF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2F7ECF">
        <w:rPr>
          <w:rFonts w:ascii="Times New Roman" w:hAnsi="Times New Roman" w:cs="Times New Roman"/>
          <w:sz w:val="28"/>
          <w:szCs w:val="28"/>
        </w:rPr>
        <w:t>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3. «Мигранты плохо работают и не нужны нашей экономике».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В экономике автономного округа занято большое количество иностранных граждан: только в 2019 году им было выдано более 31 тыс. патентов на работу. Всего в Югре единовременно трудится не менее 20 тыс. мигрантов, из которых 96% – граждане государств СНГ. Иностранцы задействованы в таких сферах экономики, как строительство, оптовая и </w:t>
      </w:r>
      <w:r w:rsidRPr="002F7ECF">
        <w:rPr>
          <w:rFonts w:ascii="Times New Roman" w:hAnsi="Times New Roman" w:cs="Times New Roman"/>
          <w:sz w:val="28"/>
          <w:szCs w:val="28"/>
        </w:rPr>
        <w:lastRenderedPageBreak/>
        <w:t xml:space="preserve">розничная торговля, обрабатывающее производство, сфера услуг, ЖКХ и т.д.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7ECF">
        <w:rPr>
          <w:rFonts w:ascii="Times New Roman" w:hAnsi="Times New Roman" w:cs="Times New Roman"/>
          <w:sz w:val="28"/>
          <w:szCs w:val="28"/>
        </w:rPr>
        <w:t xml:space="preserve">собенно значителен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F7ECF">
        <w:rPr>
          <w:rFonts w:ascii="Times New Roman" w:hAnsi="Times New Roman" w:cs="Times New Roman"/>
          <w:sz w:val="28"/>
          <w:szCs w:val="28"/>
        </w:rPr>
        <w:t>клад мигрантов в отдельные сферы экономики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2F7ECF">
        <w:rPr>
          <w:rFonts w:ascii="Times New Roman" w:hAnsi="Times New Roman" w:cs="Times New Roman"/>
          <w:sz w:val="28"/>
          <w:szCs w:val="28"/>
        </w:rPr>
        <w:t xml:space="preserve">ак, иностранные мигранты в 4,4 раза более </w:t>
      </w:r>
      <w:r>
        <w:rPr>
          <w:rFonts w:ascii="Times New Roman" w:hAnsi="Times New Roman" w:cs="Times New Roman"/>
          <w:sz w:val="28"/>
          <w:szCs w:val="28"/>
        </w:rPr>
        <w:t xml:space="preserve">чем россияне </w:t>
      </w:r>
      <w:r w:rsidRPr="002F7ECF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2F7ECF">
        <w:rPr>
          <w:rFonts w:ascii="Times New Roman" w:hAnsi="Times New Roman" w:cs="Times New Roman"/>
          <w:sz w:val="28"/>
          <w:szCs w:val="28"/>
        </w:rPr>
        <w:t>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7ECF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2F7ECF">
        <w:rPr>
          <w:rFonts w:ascii="Times New Roman" w:hAnsi="Times New Roman" w:cs="Times New Roman"/>
          <w:sz w:val="28"/>
          <w:szCs w:val="28"/>
        </w:rPr>
        <w:t xml:space="preserve">. К примеру, труд иностранцев используют более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2F7ECF">
        <w:rPr>
          <w:rFonts w:ascii="Times New Roman" w:hAnsi="Times New Roman" w:cs="Times New Roman"/>
          <w:sz w:val="28"/>
          <w:szCs w:val="28"/>
        </w:rPr>
        <w:t>8 тыс. (не менее 11%) предприятий Югры – при этом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7ECF">
        <w:rPr>
          <w:rFonts w:ascii="Times New Roman" w:hAnsi="Times New Roman" w:cs="Times New Roman"/>
          <w:sz w:val="28"/>
          <w:szCs w:val="28"/>
        </w:rPr>
        <w:t xml:space="preserve"> более 40% иностранных работников заняты на низкоквалифицированных либо не требующих профессиональной подготовки должностях</w:t>
      </w:r>
      <w:r w:rsidRPr="002F7ECF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2F7ECF">
        <w:rPr>
          <w:rFonts w:ascii="Times New Roman" w:hAnsi="Times New Roman" w:cs="Times New Roman"/>
          <w:sz w:val="28"/>
          <w:szCs w:val="28"/>
        </w:rPr>
        <w:t>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>Такое значительное количество трудовых мигрантов не перекрывает потребностей экономики такого активно развивающегося субъекта РФ как Ханты-Мансийский автономный округ – Югра. В 2019 году в службу занятости работодателями заявлена в 3,5 раза большая потребность работников от численности безработных</w:t>
      </w:r>
      <w:r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2"/>
      </w:r>
      <w:r w:rsidRPr="002F7ECF">
        <w:rPr>
          <w:rFonts w:ascii="Times New Roman" w:hAnsi="Times New Roman" w:cs="Times New Roman"/>
          <w:bCs/>
          <w:sz w:val="28"/>
          <w:szCs w:val="28"/>
        </w:rPr>
        <w:t>. Покрыть потребность в рабочей силе субъект может только за счет внутренних и внешних мигрантов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привлекая граждан РФ из других регионов, а также рабочих из других стран.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2F7ECF">
        <w:rPr>
          <w:rFonts w:ascii="Times New Roman" w:hAnsi="Times New Roman" w:cs="Times New Roman"/>
          <w:bCs/>
          <w:sz w:val="28"/>
          <w:szCs w:val="28"/>
        </w:rPr>
        <w:t>о исполнение требований миграционного законодательства УМВД России по автономному округу в 2019 году от работодателей получено более 30 тыс. уведомлений о заключении трудовых отношений с иностранцами, что сопоставимо с количеством иностранцев, имеющих разрешительные документы или право заниматься трудовой деятельностью (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граждане государств-членов ЕАЭС)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2F7ECF">
        <w:rPr>
          <w:rFonts w:ascii="Times New Roman" w:hAnsi="Times New Roman" w:cs="Times New Roman"/>
          <w:bCs/>
          <w:sz w:val="28"/>
          <w:szCs w:val="28"/>
        </w:rPr>
        <w:t>а счет налоговых отчислений иностранных работников субъекты РФ получают значительную прибыль. Так, в 2018 и 2019 годах бюджет Югры получил ежегодно более 1 млрд. рублей от налоговых платежей трудовых мигрантов, пользующихся патентом на работу</w:t>
      </w:r>
      <w:r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3"/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 xml:space="preserve">Таким образом, доходы, получаемые непосредственно бюджетом </w:t>
      </w:r>
      <w:r>
        <w:rPr>
          <w:rFonts w:ascii="Times New Roman" w:hAnsi="Times New Roman" w:cs="Times New Roman"/>
          <w:bCs/>
          <w:sz w:val="28"/>
          <w:szCs w:val="28"/>
        </w:rPr>
        <w:t>Югры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от трудящихся-мигрантов, весьма </w:t>
      </w:r>
      <w:proofErr w:type="gramStart"/>
      <w:r w:rsidRPr="002F7ECF">
        <w:rPr>
          <w:rFonts w:ascii="Times New Roman" w:hAnsi="Times New Roman" w:cs="Times New Roman"/>
          <w:bCs/>
          <w:sz w:val="28"/>
          <w:szCs w:val="28"/>
        </w:rPr>
        <w:t>значителен</w:t>
      </w:r>
      <w:proofErr w:type="gramEnd"/>
      <w:r w:rsidRPr="002F7EC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Кроме этого, 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по разным оценкам, с участием мигрантов создается от 8 до 15% валового внутреннего продукта страны. К примеру, вклад только граждан Таджикистана в российскую экономику в 2016 году оценивался в размере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F7ECF">
        <w:rPr>
          <w:rFonts w:ascii="Times New Roman" w:hAnsi="Times New Roman" w:cs="Times New Roman"/>
          <w:bCs/>
          <w:sz w:val="28"/>
          <w:szCs w:val="28"/>
        </w:rPr>
        <w:t>1 триллиона рублей</w:t>
      </w:r>
      <w:r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4"/>
      </w:r>
      <w:r w:rsidRPr="002F7ECF">
        <w:rPr>
          <w:rFonts w:ascii="Times New Roman" w:hAnsi="Times New Roman" w:cs="Times New Roman"/>
          <w:bCs/>
          <w:sz w:val="28"/>
          <w:szCs w:val="28"/>
        </w:rPr>
        <w:t>.</w:t>
      </w:r>
    </w:p>
    <w:p w:rsidR="007F07AE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4. «Мигранты много рожают и вытесняют местное население».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Более 98% внешних трудовых мигрантов в Югре составляют граждане государств СНГ и Евразийского экономического союза, т.е. граждане стран, в прошлом входивших в состав СССР. Во всех без исключения постсоветских государствах </w:t>
      </w:r>
      <w:r>
        <w:rPr>
          <w:rFonts w:ascii="Times New Roman" w:hAnsi="Times New Roman" w:cs="Times New Roman"/>
          <w:bCs/>
          <w:sz w:val="28"/>
          <w:szCs w:val="28"/>
        </w:rPr>
        <w:t>значительно снижается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уровень рождаемости: так, в Узбекистане он составляет в среднем около 1,98 ребенка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на 1 женщину, в Киргизии – около 2,5 ребенка на 1 женщину, в Таджикистане – около 3 детей на 1 женщину, в России – около 1,7 ребенка на 1 женщину. Исследования показывают, что рождаемость у мигрантов, </w:t>
      </w:r>
      <w:r w:rsidRPr="002F7EC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переехавших на новое место жительства, постоянно уменьшается и стремится сравняться с рождаемостью местного населения. </w:t>
      </w:r>
      <w:proofErr w:type="gramStart"/>
      <w:r w:rsidRPr="002F7ECF">
        <w:rPr>
          <w:rFonts w:ascii="Times New Roman" w:hAnsi="Times New Roman" w:cs="Times New Roman"/>
          <w:bCs/>
          <w:sz w:val="28"/>
          <w:szCs w:val="28"/>
        </w:rPr>
        <w:t>«Вытеснение» постоянного населения России мигрантами невозможно ни в ср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еднесрочной, ни в долгосрочной </w:t>
      </w:r>
      <w:r w:rsidRPr="002F7ECF">
        <w:rPr>
          <w:rFonts w:ascii="Times New Roman" w:hAnsi="Times New Roman" w:cs="Times New Roman"/>
          <w:bCs/>
          <w:sz w:val="28"/>
          <w:szCs w:val="28"/>
        </w:rPr>
        <w:t>перспективе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аже в случае </w:t>
      </w:r>
      <w:proofErr w:type="spellStart"/>
      <w:r w:rsidRPr="002F7ECF">
        <w:rPr>
          <w:rFonts w:ascii="Times New Roman" w:hAnsi="Times New Roman" w:cs="Times New Roman"/>
          <w:bCs/>
          <w:sz w:val="28"/>
          <w:szCs w:val="28"/>
        </w:rPr>
        <w:t>единомоментного</w:t>
      </w:r>
      <w:proofErr w:type="spellEnd"/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переезда в РФ всего без исключения населения Узбекистана, Таджикистана и Киргизии вместе взятых, удельный вес граждан этих стран в населении РФ составит не более 25%. Кроме того, процессы социально-культурной адаптации мигрантов при должной поддержке интеграционных процессов приведут к постепенной ассимиляции потомков внешних мигрантов, сопровождающейся принятием социальных, поведенческих и культурных стандартов, распространенных среди местного населения.</w:t>
      </w:r>
      <w:proofErr w:type="gramEnd"/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5. «Большое количество мигрантов не нужно нашей стране»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К сожалению, для России характерна естественная убыль населения. Привлечение мигрантов в РФ становится важнейшим условием преодоления глубокого демографического кризиса. В условиях сокращения национальных трудовых ресурсов, старения и естественной убыли населения, в особенности касающейся регионов Дальнего Востока, Сибири и Центральной России, обеспечение прироста населения за счет переселенческой миграции становится важнейшей стратегической задачей страны. Соответствующие цели декларированы в Концепции государственной миграционной политики до 2025 года, показатели их исполнения используются при оценке эффективности деятельности органов государственной власти в сфере миграции.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 xml:space="preserve">Реализация среднего варианта демографического прогноза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до 2035 года, рассчитанного Росстатом, согласно которому население России будет сохраняться в пределах 147 млн. человек, требует </w:t>
      </w:r>
      <w:r w:rsidRPr="002F7ECF">
        <w:rPr>
          <w:rFonts w:ascii="Times New Roman" w:hAnsi="Times New Roman" w:cs="Times New Roman"/>
          <w:b/>
          <w:bCs/>
          <w:sz w:val="28"/>
          <w:szCs w:val="28"/>
        </w:rPr>
        <w:t>миграционного прироста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в размере не менее 285 тыс. человек ежегодно. При этом сокращение миграционного прироста до уровня 120 тыс. человек в год будет означать существенное сокращение численности населения страны. Рост численности населения Российской Федерации возможен только при сохранении миграционного прироста на уровне от 340 тыс. человек в год и выше. Например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миграционный прирост населения РФ в 2016 году составил 261,9 тыс. человек, обеспечив 98% общего прироста населения страны</w:t>
      </w:r>
      <w:r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5"/>
      </w:r>
      <w:r w:rsidRPr="002F7ECF">
        <w:rPr>
          <w:rFonts w:ascii="Times New Roman" w:hAnsi="Times New Roman" w:cs="Times New Roman"/>
          <w:bCs/>
          <w:sz w:val="28"/>
          <w:szCs w:val="28"/>
        </w:rPr>
        <w:t>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>Миграционный прирост жизненно необходим России — по данным экспертов, общая убыль трудоспособного населения страны до 2030 года составит не менее 11 млн. человек</w:t>
      </w:r>
      <w:r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6"/>
      </w:r>
      <w:r w:rsidRPr="002F7ECF">
        <w:rPr>
          <w:rFonts w:ascii="Times New Roman" w:hAnsi="Times New Roman" w:cs="Times New Roman"/>
          <w:bCs/>
          <w:sz w:val="28"/>
          <w:szCs w:val="28"/>
        </w:rPr>
        <w:t>.</w:t>
      </w:r>
    </w:p>
    <w:p w:rsidR="007F07AE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07AE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07AE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07AE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Стереотип 6. «Мигранты распространяют опасные заболевания»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Данный стереотип также может быть опровергнут на примере Ханты-Мансийского автономного округа – Югры. Эпидемиологическая ситуация в среде иностранных граждан, приезжающих в наш регион, изучена хорошо, является достаточно благоприятной и аналогична ситуации среди местного населения. Большая </w:t>
      </w:r>
      <w:proofErr w:type="gramStart"/>
      <w:r w:rsidRPr="002F7ECF">
        <w:rPr>
          <w:rFonts w:ascii="Times New Roman" w:hAnsi="Times New Roman" w:cs="Times New Roman"/>
          <w:bCs/>
          <w:sz w:val="28"/>
          <w:szCs w:val="28"/>
        </w:rPr>
        <w:t>часть трудовых мигрантов трудится на основании патента на работу и при оформлении этого документа проходит медицинское</w:t>
      </w:r>
      <w:proofErr w:type="gramEnd"/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освидетельствование. Медицинское освидетельствование проходят также иностранные граждане, претендующие на </w:t>
      </w:r>
      <w:proofErr w:type="gramStart"/>
      <w:r w:rsidRPr="002F7ECF">
        <w:rPr>
          <w:rFonts w:ascii="Times New Roman" w:hAnsi="Times New Roman" w:cs="Times New Roman"/>
          <w:bCs/>
          <w:sz w:val="28"/>
          <w:szCs w:val="28"/>
        </w:rPr>
        <w:t>разрешение</w:t>
      </w:r>
      <w:proofErr w:type="gramEnd"/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на временное проживание (дающего право проживать в РФ 3 года) и вид на жительство (на 5 лет). По данным Управления </w:t>
      </w:r>
      <w:proofErr w:type="spellStart"/>
      <w:r w:rsidRPr="002F7ECF">
        <w:rPr>
          <w:rFonts w:ascii="Times New Roman" w:hAnsi="Times New Roman" w:cs="Times New Roman"/>
          <w:bCs/>
          <w:sz w:val="28"/>
          <w:szCs w:val="28"/>
        </w:rPr>
        <w:t>Роспотребнадзра</w:t>
      </w:r>
      <w:proofErr w:type="spellEnd"/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по автономному округу в 2019 году медицинское освидетельствование прошли более 37 тыс. иностранных граждан и лиц без гражданства. </w:t>
      </w:r>
      <w:proofErr w:type="gramStart"/>
      <w:r w:rsidRPr="002F7ECF">
        <w:rPr>
          <w:rFonts w:ascii="Times New Roman" w:hAnsi="Times New Roman" w:cs="Times New Roman"/>
          <w:bCs/>
          <w:sz w:val="28"/>
          <w:szCs w:val="28"/>
        </w:rPr>
        <w:t>Только у 74 человек (0,2 % от прошедших тестирование) обнаружены заболевания, представляющие опасность для окружающих:</w:t>
      </w:r>
      <w:proofErr w:type="gramEnd"/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ВИЧ-инфекция – у 33 человек, туберкулез – у 24 человек, инфекции, пере</w:t>
      </w:r>
      <w:r>
        <w:rPr>
          <w:rFonts w:ascii="Times New Roman" w:hAnsi="Times New Roman" w:cs="Times New Roman"/>
          <w:bCs/>
          <w:sz w:val="28"/>
          <w:szCs w:val="28"/>
        </w:rPr>
        <w:t>дающиеся половым путем – у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17 человек</w:t>
      </w:r>
      <w:r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7"/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. При этом в отношении лиц, у которых выявлены данные заболевания, оформляются материалы для принятия решения о нежелательности пребывания (проживания) иностранного гражданина в России с целью дальнейшей депортации. На основании этих сведений Федеральная служба </w:t>
      </w:r>
      <w:proofErr w:type="spellStart"/>
      <w:r w:rsidRPr="002F7ECF">
        <w:rPr>
          <w:rFonts w:ascii="Times New Roman" w:hAnsi="Times New Roman" w:cs="Times New Roman"/>
          <w:bCs/>
          <w:sz w:val="28"/>
          <w:szCs w:val="28"/>
        </w:rPr>
        <w:t>Роспотребнадзора</w:t>
      </w:r>
      <w:proofErr w:type="spellEnd"/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принимает решение о </w:t>
      </w:r>
      <w:proofErr w:type="spellStart"/>
      <w:r w:rsidRPr="002F7ECF">
        <w:rPr>
          <w:rFonts w:ascii="Times New Roman" w:hAnsi="Times New Roman" w:cs="Times New Roman"/>
          <w:bCs/>
          <w:sz w:val="28"/>
          <w:szCs w:val="28"/>
        </w:rPr>
        <w:t>неразрешении</w:t>
      </w:r>
      <w:proofErr w:type="spellEnd"/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въезда данных граждан на территорию РФ. Получение документов, дающих право на работу либо проживание в РФ, лицами, не прошедшими медицинскую комиссию, невозможно.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 xml:space="preserve">Стереотип 7. «Дети мигрантов заполонили школы и детские сады»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 xml:space="preserve">Рассмотрим, какую нагрузку испытывают учреждения образования </w:t>
      </w:r>
      <w:r>
        <w:rPr>
          <w:rFonts w:ascii="Times New Roman" w:hAnsi="Times New Roman" w:cs="Times New Roman"/>
          <w:bCs/>
          <w:sz w:val="28"/>
          <w:szCs w:val="28"/>
        </w:rPr>
        <w:t>Югры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в связи с «ростом» числа детей-мигрантов. В средних общеобразовательных организациях (школах) автономного округа числится более 2386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bCs/>
          <w:sz w:val="28"/>
          <w:szCs w:val="28"/>
        </w:rPr>
        <w:t>иностранных граждан, в образовательных организациях дошкольного образования (детсадах) – около 426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 иностранных граждан</w:t>
      </w:r>
      <w:r w:rsidRPr="002F7ECF">
        <w:rPr>
          <w:rFonts w:ascii="Times New Roman" w:hAnsi="Times New Roman" w:cs="Times New Roman"/>
          <w:bCs/>
          <w:sz w:val="28"/>
          <w:szCs w:val="28"/>
        </w:rPr>
        <w:t>. Всего в автономном округе детские сады посещают 116 226 детей, 227 596 ребят обучаются в школах, подведомственных муниципальным образованиям</w:t>
      </w:r>
      <w:r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8"/>
      </w:r>
      <w:r w:rsidRPr="002F7ECF">
        <w:rPr>
          <w:rFonts w:ascii="Times New Roman" w:hAnsi="Times New Roman" w:cs="Times New Roman"/>
          <w:bCs/>
          <w:sz w:val="28"/>
          <w:szCs w:val="28"/>
        </w:rPr>
        <w:t>. Таким образом, дети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bCs/>
          <w:sz w:val="28"/>
          <w:szCs w:val="28"/>
        </w:rPr>
        <w:t>иностранны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граждан составляют менее 0,4% от всех дошкольников Югры и около 1% школьников. Вряд ли такая ситуация может быть описана словом «заполонили».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>На распространенность данного стереотипа также оказывает влияние эффект так называемых «видимых меньшинств» – жители мегаполисов, замечая людей иной внешности и национальности в своем окружении, часто делают необоснованные выводы об их гражданской принадлежности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ак, граждане РФ, принадлежащие к коренному населению, например, Северного Кавказа, Поволжья, Южной и Восточной Сибири могут восприниматься населением Центральной России и Северо-Запада в качестве «внешних мигрантов».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lastRenderedPageBreak/>
        <w:t>Эти данные свидетельствуют не только о сравнительно небольшой численности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иностранных граждан, недостаточной для того, чтобы что-либо «заполонить», но и о росте семейной миграции в Россию и об интеграционных намерениях иностранных граждан стать полноправными россиянами и дать гражданство РФ своим детям.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/>
          <w:bCs/>
          <w:sz w:val="28"/>
          <w:szCs w:val="28"/>
        </w:rPr>
        <w:t>Стереотип 8. «России угрожают беженцы из Сирии и Ближнего Востока»</w:t>
      </w:r>
      <w:r w:rsidRPr="002F7E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ECF">
        <w:rPr>
          <w:rFonts w:ascii="Times New Roman" w:hAnsi="Times New Roman" w:cs="Times New Roman"/>
          <w:bCs/>
          <w:sz w:val="28"/>
          <w:szCs w:val="28"/>
        </w:rPr>
        <w:t>Россия не является привлекательной для беженцев страной назначения. Количество лиц, имеющих статус беженца в РФ, незначителен и постоянно сокращается: так, на 1 октября 2018 года таких было 592 человека на всю Россию. Более половины лиц (51,9 %), признанных беженцами на территории Российской Федерации и состоящих на учете, составляют граждане Афганистана, далее следуют граждане Украины (26,7 %), Грузии (5,1 %), Молдовы (3,4 %) и Узбекистана (3,2 %). Статус беженца в РФ имеют 2 гражданина Сирийской Арабской республики</w:t>
      </w:r>
      <w:r w:rsidRPr="002F7ECF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19"/>
      </w:r>
      <w:r w:rsidRPr="002F7ECF">
        <w:rPr>
          <w:rFonts w:ascii="Times New Roman" w:hAnsi="Times New Roman" w:cs="Times New Roman"/>
          <w:bCs/>
          <w:sz w:val="28"/>
          <w:szCs w:val="28"/>
        </w:rPr>
        <w:t>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>В Югре же лица, имеющие статус беженца вообще не зарегистрированы. Неизменно снижается и количество лиц, имеющих статус вынужденного переселенца. На 1 января 2019 года в автономном округе пребывало 17 таких вынужденных мигрантов, к 2020 году их осталось только 9</w:t>
      </w:r>
      <w:r w:rsidRPr="002F7ECF">
        <w:rPr>
          <w:rStyle w:val="a5"/>
          <w:rFonts w:ascii="Times New Roman" w:hAnsi="Times New Roman" w:cs="Times New Roman"/>
          <w:bCs/>
          <w:iCs/>
          <w:sz w:val="28"/>
          <w:szCs w:val="20"/>
        </w:rPr>
        <w:footnoteReference w:id="20"/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Большое значение имеет адекватное освещение в СМИ миграционных процессов, а также </w:t>
      </w:r>
      <w:r w:rsidRPr="002F7ECF">
        <w:rPr>
          <w:rFonts w:ascii="Times New Roman" w:hAnsi="Times New Roman" w:cs="Times New Roman"/>
          <w:b/>
          <w:bCs/>
          <w:iCs/>
          <w:sz w:val="28"/>
          <w:szCs w:val="20"/>
        </w:rPr>
        <w:t>противодействие распространению негативных клише и стереотипов о миграции и мигрантах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.</w:t>
      </w:r>
    </w:p>
    <w:p w:rsidR="007F07AE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2F7ECF">
        <w:rPr>
          <w:rFonts w:ascii="Times New Roman" w:hAnsi="Times New Roman" w:cs="Times New Roman"/>
          <w:bCs/>
          <w:iCs/>
          <w:sz w:val="28"/>
          <w:szCs w:val="20"/>
        </w:rPr>
        <w:t xml:space="preserve">В постоянной информационной работе необходимо использовать корректные экспертные и официальные источники </w:t>
      </w:r>
      <w:r>
        <w:rPr>
          <w:rFonts w:ascii="Times New Roman" w:hAnsi="Times New Roman" w:cs="Times New Roman"/>
          <w:bCs/>
          <w:iCs/>
          <w:sz w:val="28"/>
          <w:szCs w:val="20"/>
        </w:rPr>
        <w:t>(ниже привед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ен их список</w:t>
      </w:r>
      <w:r>
        <w:rPr>
          <w:rFonts w:ascii="Times New Roman" w:hAnsi="Times New Roman" w:cs="Times New Roman"/>
          <w:bCs/>
          <w:iCs/>
          <w:sz w:val="28"/>
          <w:szCs w:val="20"/>
        </w:rPr>
        <w:t>)</w:t>
      </w:r>
      <w:r w:rsidRPr="002F7ECF">
        <w:rPr>
          <w:rFonts w:ascii="Times New Roman" w:hAnsi="Times New Roman" w:cs="Times New Roman"/>
          <w:bCs/>
          <w:iCs/>
          <w:sz w:val="28"/>
          <w:szCs w:val="20"/>
        </w:rPr>
        <w:t>:</w:t>
      </w:r>
    </w:p>
    <w:p w:rsidR="007F07AE" w:rsidRDefault="007F07AE" w:rsidP="007F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</w:p>
    <w:p w:rsidR="007F07AE" w:rsidRPr="00ED7513" w:rsidRDefault="007F07AE" w:rsidP="007F07A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bookmarkStart w:id="0" w:name="_GoBack"/>
      <w:bookmarkEnd w:id="0"/>
      <w:r w:rsidRPr="00ED7513">
        <w:rPr>
          <w:rFonts w:ascii="Times New Roman" w:hAnsi="Times New Roman" w:cs="Times New Roman"/>
          <w:b/>
          <w:bCs/>
          <w:iCs/>
          <w:sz w:val="28"/>
          <w:szCs w:val="24"/>
        </w:rPr>
        <w:t>Источники данных о миграции в РФ</w:t>
      </w:r>
    </w:p>
    <w:p w:rsidR="007F07AE" w:rsidRPr="002F7ECF" w:rsidRDefault="007F07AE" w:rsidP="007F07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sz w:val="28"/>
          <w:szCs w:val="28"/>
        </w:rPr>
        <w:t xml:space="preserve">Ссылки на сайты ведомств, структур, научно-исследовательских учреждений, информационных агентств, которые содержат обновляющиеся материалы по миграционной статистике в РФ и проблемах миграции.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https://мвд</w:t>
      </w:r>
      <w:proofErr w:type="gramStart"/>
      <w:r w:rsidRPr="002F7ECF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2F7ECF">
        <w:rPr>
          <w:rFonts w:ascii="Times New Roman" w:hAnsi="Times New Roman" w:cs="Times New Roman"/>
          <w:b/>
          <w:sz w:val="28"/>
          <w:szCs w:val="28"/>
        </w:rPr>
        <w:t>ф/Deljatelnost/statistics/migracionnaya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статистические сведения о миграционной ситуации в России по линии МВД РФ: обновляются ежемесячно, с разбивкой по странам происхождения и регионам РФ – ежеквартально.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 xml:space="preserve">http://www.gks.ru/wps/wcm/connect/rosstat_main/rosstat/ru/statistics/ </w:t>
      </w:r>
      <w:proofErr w:type="spellStart"/>
      <w:r w:rsidRPr="002F7ECF">
        <w:rPr>
          <w:rFonts w:ascii="Times New Roman" w:hAnsi="Times New Roman" w:cs="Times New Roman"/>
          <w:b/>
          <w:sz w:val="28"/>
          <w:szCs w:val="28"/>
        </w:rPr>
        <w:t>population</w:t>
      </w:r>
      <w:proofErr w:type="spellEnd"/>
      <w:r w:rsidRPr="002F7ECF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2F7ECF">
        <w:rPr>
          <w:rFonts w:ascii="Times New Roman" w:hAnsi="Times New Roman" w:cs="Times New Roman"/>
          <w:b/>
          <w:sz w:val="28"/>
          <w:szCs w:val="28"/>
        </w:rPr>
        <w:t>demography</w:t>
      </w:r>
      <w:proofErr w:type="spellEnd"/>
      <w:r w:rsidRPr="002F7ECF">
        <w:rPr>
          <w:rFonts w:ascii="Times New Roman" w:hAnsi="Times New Roman" w:cs="Times New Roman"/>
          <w:b/>
          <w:sz w:val="28"/>
          <w:szCs w:val="28"/>
        </w:rPr>
        <w:t>/#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официальные данные Федеральной службы государственной статистики по миграции: содержат </w:t>
      </w:r>
      <w:proofErr w:type="gramStart"/>
      <w:r w:rsidRPr="002F7ECF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2F7ECF">
        <w:rPr>
          <w:rFonts w:ascii="Times New Roman" w:hAnsi="Times New Roman" w:cs="Times New Roman"/>
          <w:sz w:val="28"/>
          <w:szCs w:val="28"/>
        </w:rPr>
        <w:t xml:space="preserve"> в том числе о внутренних миграционных процессах в РФ, миграционном приросте по регионам РФ. В качестве мигрантов ФСГС, в соответствии со своей </w:t>
      </w:r>
      <w:r w:rsidRPr="002F7ECF">
        <w:rPr>
          <w:rFonts w:ascii="Times New Roman" w:hAnsi="Times New Roman" w:cs="Times New Roman"/>
          <w:sz w:val="28"/>
          <w:szCs w:val="28"/>
        </w:rPr>
        <w:lastRenderedPageBreak/>
        <w:t xml:space="preserve">методикой, учитывает лиц, имеющих регистрацию в регионе пребывания на срок от 9 месяцев до 5 лет.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http://www.demoscope.ru/weekly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F7ECF">
        <w:rPr>
          <w:rFonts w:ascii="Times New Roman" w:hAnsi="Times New Roman" w:cs="Times New Roman"/>
          <w:sz w:val="28"/>
          <w:szCs w:val="28"/>
        </w:rPr>
        <w:t>Демоскоп</w:t>
      </w:r>
      <w:proofErr w:type="spellEnd"/>
      <w:r w:rsidRPr="002F7ECF">
        <w:rPr>
          <w:rFonts w:ascii="Times New Roman" w:hAnsi="Times New Roman" w:cs="Times New Roman"/>
          <w:sz w:val="28"/>
          <w:szCs w:val="28"/>
        </w:rPr>
        <w:t xml:space="preserve"> – еженедельное сетевое издание Института демографии НИУ «Высшая школа экономики»: публикует аналитические сводки о состоянии миграционных процессов в России и в мире.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 xml:space="preserve">https://www.ranepa.ru/social/informatsionno-analiticheskij-byulleten </w:t>
      </w:r>
      <w:r w:rsidRPr="002F7ECF">
        <w:rPr>
          <w:rFonts w:ascii="Times New Roman" w:hAnsi="Times New Roman" w:cs="Times New Roman"/>
          <w:sz w:val="28"/>
          <w:szCs w:val="28"/>
        </w:rPr>
        <w:t xml:space="preserve">– страница информационно-аналитического бюллетеня «Мониторинг социально-экономического положения и самочувствия населения» Института социального анализа и прогнозирования </w:t>
      </w:r>
      <w:proofErr w:type="spellStart"/>
      <w:r w:rsidRPr="002F7ECF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2F7ECF">
        <w:rPr>
          <w:rFonts w:ascii="Times New Roman" w:hAnsi="Times New Roman" w:cs="Times New Roman"/>
          <w:sz w:val="28"/>
          <w:szCs w:val="28"/>
        </w:rPr>
        <w:t xml:space="preserve">: содержит ежеквартальные аналитические сводки о миграционных процессах в РФ.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 xml:space="preserve">http://www.e-cis.info/page.php?id=24041 </w:t>
      </w:r>
      <w:r w:rsidRPr="002F7ECF">
        <w:rPr>
          <w:rFonts w:ascii="Times New Roman" w:hAnsi="Times New Roman" w:cs="Times New Roman"/>
          <w:sz w:val="28"/>
          <w:szCs w:val="28"/>
        </w:rPr>
        <w:t xml:space="preserve">– миграционная ситуация в странах СНГ: ежеквартально обновляемая сводка от Совета руководителей миграционных органов стран-участников СНГ.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 xml:space="preserve">http://www.eurasiancommission.org/ru/act/finpol/migration </w:t>
      </w:r>
      <w:r w:rsidRPr="002F7ECF">
        <w:rPr>
          <w:rFonts w:ascii="Times New Roman" w:hAnsi="Times New Roman" w:cs="Times New Roman"/>
          <w:sz w:val="28"/>
          <w:szCs w:val="28"/>
        </w:rPr>
        <w:t xml:space="preserve">– сайт Департамента трудовой миграции и социальной защиты Евразийской экономической комиссии.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http://www.cdep.ru/index.php?id=79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судебная статистика Российской Федерации: материалы Судебного департамента при Верховном Суде 18 Освещение миграционных процессов в Российской Федерации Российской Федерации по осужденным в РФ с разбивкой по составам, социальным и демографическим категориям.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http://crimestat.ru/offenses_map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портал правовой статистики Генеральной прокуратуры Российской Федерации: представлены показатели преступности в России и в регионах, с разбивкой по составам и категориям правонарушителей.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 xml:space="preserve">http://muhojir.info/historyMigrants </w:t>
      </w:r>
      <w:r w:rsidRPr="002F7ECF">
        <w:rPr>
          <w:rFonts w:ascii="Times New Roman" w:hAnsi="Times New Roman" w:cs="Times New Roman"/>
          <w:sz w:val="28"/>
          <w:szCs w:val="28"/>
        </w:rPr>
        <w:t xml:space="preserve">– истории мигрантов – граждан Республики Таджикистан.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https://refugee.ru/?pubtopic=istorii-migrantov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истории мигрантов, обратившихся за помощью в общественную организацию «Гражданское содействие» (г. Москва).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http://migrant.ru/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международное движение помощи мигрантам и соотечественникам «Форум соотечественников» (г. Москва).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http://www.ethnoinfo.ru/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информационное агентство «</w:t>
      </w:r>
      <w:proofErr w:type="spellStart"/>
      <w:r w:rsidRPr="002F7ECF">
        <w:rPr>
          <w:rFonts w:ascii="Times New Roman" w:hAnsi="Times New Roman" w:cs="Times New Roman"/>
          <w:sz w:val="28"/>
          <w:szCs w:val="28"/>
        </w:rPr>
        <w:t>Этноинфо</w:t>
      </w:r>
      <w:proofErr w:type="spellEnd"/>
      <w:r w:rsidRPr="002F7ECF">
        <w:rPr>
          <w:rFonts w:ascii="Times New Roman" w:hAnsi="Times New Roman" w:cs="Times New Roman"/>
          <w:sz w:val="28"/>
          <w:szCs w:val="28"/>
        </w:rPr>
        <w:t xml:space="preserve">», реализующее информационные проекты в сфере миграции (г. Екатеринбург).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https://sputniknews.ru/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группа сайтов международного информационного агентства «Спутник»: новости миграции из государств СНГ и Средней Азии.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http://camplatform.org/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сайт гражданской платформы «Центральная Азия в движении»: новости сети общественных организаций, помогающих мигрантам в Средней Азии и РФ.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lastRenderedPageBreak/>
        <w:t>http://migrussia.ru/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межрегиональный информационный портал «Миграция и мигранты»: новости регулирования миграционных процессов в регионах России. </w:t>
      </w:r>
    </w:p>
    <w:p w:rsidR="007F07AE" w:rsidRPr="002F7ECF" w:rsidRDefault="007F07AE" w:rsidP="007F07A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ECF">
        <w:rPr>
          <w:rFonts w:ascii="Times New Roman" w:hAnsi="Times New Roman" w:cs="Times New Roman"/>
          <w:b/>
          <w:sz w:val="28"/>
          <w:szCs w:val="28"/>
        </w:rPr>
        <w:t>https://nazaccent.ru/</w:t>
      </w:r>
      <w:r w:rsidRPr="002F7ECF">
        <w:rPr>
          <w:rFonts w:ascii="Times New Roman" w:hAnsi="Times New Roman" w:cs="Times New Roman"/>
          <w:sz w:val="28"/>
          <w:szCs w:val="28"/>
        </w:rPr>
        <w:t xml:space="preserve"> – «Национальный акцент»: проект Гильдии межэтнической журналистики, освещающий новости в сфере межнациональных отношений в РФ.</w:t>
      </w:r>
    </w:p>
    <w:p w:rsidR="00422A9F" w:rsidRDefault="00422A9F"/>
    <w:sectPr w:rsidR="00422A9F" w:rsidSect="007F07AE">
      <w:footerReference w:type="default" r:id="rId8"/>
      <w:pgSz w:w="11906" w:h="16838"/>
      <w:pgMar w:top="851" w:right="991" w:bottom="851" w:left="1701" w:header="426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7AE" w:rsidRDefault="007F07AE" w:rsidP="007F07AE">
      <w:pPr>
        <w:spacing w:after="0" w:line="240" w:lineRule="auto"/>
      </w:pPr>
      <w:r>
        <w:separator/>
      </w:r>
    </w:p>
  </w:endnote>
  <w:endnote w:type="continuationSeparator" w:id="0">
    <w:p w:rsidR="007F07AE" w:rsidRDefault="007F07AE" w:rsidP="007F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874260"/>
      <w:docPartObj>
        <w:docPartGallery w:val="Page Numbers (Bottom of Page)"/>
        <w:docPartUnique/>
      </w:docPartObj>
    </w:sdtPr>
    <w:sdtContent>
      <w:p w:rsidR="007F07AE" w:rsidRDefault="007F07A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7F07AE" w:rsidRDefault="007F07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7AE" w:rsidRDefault="007F07AE" w:rsidP="007F07AE">
      <w:pPr>
        <w:spacing w:after="0" w:line="240" w:lineRule="auto"/>
      </w:pPr>
      <w:r>
        <w:separator/>
      </w:r>
    </w:p>
  </w:footnote>
  <w:footnote w:type="continuationSeparator" w:id="0">
    <w:p w:rsidR="007F07AE" w:rsidRDefault="007F07AE" w:rsidP="007F07AE">
      <w:pPr>
        <w:spacing w:after="0" w:line="240" w:lineRule="auto"/>
      </w:pPr>
      <w:r>
        <w:continuationSeparator/>
      </w:r>
    </w:p>
  </w:footnote>
  <w:footnote w:id="1">
    <w:p w:rsidR="007F07AE" w:rsidRDefault="007F07AE" w:rsidP="007F07AE">
      <w:pPr>
        <w:pStyle w:val="a3"/>
      </w:pPr>
    </w:p>
  </w:footnote>
  <w:footnote w:id="2">
    <w:p w:rsidR="007F07AE" w:rsidRDefault="007F07AE" w:rsidP="007F07AE">
      <w:pPr>
        <w:pStyle w:val="a3"/>
      </w:pPr>
    </w:p>
  </w:footnote>
  <w:footnote w:id="3">
    <w:p w:rsidR="007F07AE" w:rsidRDefault="007F07AE" w:rsidP="007F07AE">
      <w:pPr>
        <w:pStyle w:val="a3"/>
      </w:pPr>
    </w:p>
  </w:footnote>
  <w:footnote w:id="4">
    <w:p w:rsidR="007F07AE" w:rsidRDefault="007F07AE" w:rsidP="007F07AE">
      <w:pPr>
        <w:pStyle w:val="a3"/>
      </w:pPr>
    </w:p>
  </w:footnote>
  <w:footnote w:id="5">
    <w:p w:rsidR="007F07AE" w:rsidRDefault="007F07AE" w:rsidP="007F07AE">
      <w:pPr>
        <w:pStyle w:val="a3"/>
      </w:pPr>
    </w:p>
  </w:footnote>
  <w:footnote w:id="6">
    <w:p w:rsidR="007F07AE" w:rsidRDefault="007F07AE" w:rsidP="007F07AE">
      <w:pPr>
        <w:pStyle w:val="a3"/>
      </w:pPr>
    </w:p>
  </w:footnote>
  <w:footnote w:id="7">
    <w:p w:rsidR="007F07AE" w:rsidRPr="00827EBC" w:rsidRDefault="007F07AE" w:rsidP="007F07AE">
      <w:pPr>
        <w:pStyle w:val="a3"/>
        <w:rPr>
          <w:rFonts w:cstheme="minorHAnsi"/>
          <w:bCs/>
          <w:iCs/>
        </w:rPr>
      </w:pPr>
    </w:p>
  </w:footnote>
  <w:footnote w:id="8">
    <w:p w:rsidR="007F07AE" w:rsidRDefault="007F07AE" w:rsidP="007F07AE">
      <w:pPr>
        <w:pStyle w:val="a3"/>
      </w:pPr>
    </w:p>
  </w:footnote>
  <w:footnote w:id="9">
    <w:p w:rsidR="007F07AE" w:rsidRDefault="007F07AE" w:rsidP="007F07AE">
      <w:pPr>
        <w:pStyle w:val="a3"/>
      </w:pPr>
    </w:p>
  </w:footnote>
  <w:footnote w:id="10">
    <w:p w:rsidR="007F07AE" w:rsidRPr="00345D92" w:rsidRDefault="007F07AE" w:rsidP="007F07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</w:footnote>
  <w:footnote w:id="11">
    <w:p w:rsidR="007F07AE" w:rsidRDefault="007F07AE" w:rsidP="007F07AE">
      <w:pPr>
        <w:pStyle w:val="a3"/>
      </w:pPr>
    </w:p>
  </w:footnote>
  <w:footnote w:id="12">
    <w:p w:rsidR="007F07AE" w:rsidRDefault="007F07AE" w:rsidP="007F07AE">
      <w:pPr>
        <w:pStyle w:val="a3"/>
      </w:pPr>
    </w:p>
  </w:footnote>
  <w:footnote w:id="13">
    <w:p w:rsidR="007F07AE" w:rsidRPr="00821F58" w:rsidRDefault="007F07AE" w:rsidP="007F07A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sz w:val="16"/>
          <w:szCs w:val="28"/>
        </w:rPr>
      </w:pPr>
    </w:p>
  </w:footnote>
  <w:footnote w:id="14">
    <w:p w:rsidR="007F07AE" w:rsidRPr="00A31AC9" w:rsidRDefault="007F07AE" w:rsidP="007F07AE">
      <w:pPr>
        <w:pStyle w:val="a3"/>
      </w:pPr>
    </w:p>
  </w:footnote>
  <w:footnote w:id="15">
    <w:p w:rsidR="007F07AE" w:rsidRPr="0079165E" w:rsidRDefault="007F07AE" w:rsidP="007F07AE">
      <w:pPr>
        <w:pStyle w:val="a3"/>
        <w:jc w:val="both"/>
      </w:pPr>
    </w:p>
  </w:footnote>
  <w:footnote w:id="16">
    <w:p w:rsidR="007F07AE" w:rsidRPr="0079165E" w:rsidRDefault="007F07AE" w:rsidP="007F07A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</w:footnote>
  <w:footnote w:id="17">
    <w:p w:rsidR="007F07AE" w:rsidRDefault="007F07AE" w:rsidP="007F07AE">
      <w:pPr>
        <w:pStyle w:val="a3"/>
      </w:pPr>
    </w:p>
  </w:footnote>
  <w:footnote w:id="18">
    <w:p w:rsidR="007F07AE" w:rsidRDefault="007F07AE" w:rsidP="007F07AE">
      <w:pPr>
        <w:pStyle w:val="a3"/>
      </w:pPr>
    </w:p>
  </w:footnote>
  <w:footnote w:id="19">
    <w:p w:rsidR="007F07AE" w:rsidRDefault="007F07AE" w:rsidP="007F07AE">
      <w:pPr>
        <w:pStyle w:val="a3"/>
      </w:pPr>
    </w:p>
  </w:footnote>
  <w:footnote w:id="20">
    <w:p w:rsidR="007F07AE" w:rsidRDefault="007F07AE" w:rsidP="007F07AE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221F8"/>
    <w:multiLevelType w:val="hybridMultilevel"/>
    <w:tmpl w:val="4008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A3"/>
    <w:rsid w:val="00422A9F"/>
    <w:rsid w:val="007859A3"/>
    <w:rsid w:val="007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07A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07A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07AE"/>
    <w:rPr>
      <w:vertAlign w:val="superscript"/>
    </w:rPr>
  </w:style>
  <w:style w:type="paragraph" w:styleId="a6">
    <w:name w:val="List Paragraph"/>
    <w:basedOn w:val="a"/>
    <w:uiPriority w:val="34"/>
    <w:qFormat/>
    <w:rsid w:val="007F07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F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7AE"/>
  </w:style>
  <w:style w:type="paragraph" w:styleId="a9">
    <w:name w:val="footer"/>
    <w:basedOn w:val="a"/>
    <w:link w:val="aa"/>
    <w:uiPriority w:val="99"/>
    <w:unhideWhenUsed/>
    <w:rsid w:val="007F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07A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07A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07AE"/>
    <w:rPr>
      <w:vertAlign w:val="superscript"/>
    </w:rPr>
  </w:style>
  <w:style w:type="paragraph" w:styleId="a6">
    <w:name w:val="List Paragraph"/>
    <w:basedOn w:val="a"/>
    <w:uiPriority w:val="34"/>
    <w:qFormat/>
    <w:rsid w:val="007F07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F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07AE"/>
  </w:style>
  <w:style w:type="paragraph" w:styleId="a9">
    <w:name w:val="footer"/>
    <w:basedOn w:val="a"/>
    <w:link w:val="aa"/>
    <w:uiPriority w:val="99"/>
    <w:unhideWhenUsed/>
    <w:rsid w:val="007F0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0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3402</Words>
  <Characters>19394</Characters>
  <Application>Microsoft Office Word</Application>
  <DocSecurity>0</DocSecurity>
  <Lines>161</Lines>
  <Paragraphs>45</Paragraphs>
  <ScaleCrop>false</ScaleCrop>
  <Company/>
  <LinksUpToDate>false</LinksUpToDate>
  <CharactersWithSpaces>22751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Ильдар</cp:lastModifiedBy>
  <cp:revision>2</cp:revision>
  <dcterms:created xsi:type="dcterms:W3CDTF">2021-08-25T07:37:00Z</dcterms:created>
  <dcterms:modified xsi:type="dcterms:W3CDTF">2021-08-25T07:39:00Z</dcterms:modified>
</cp:coreProperties>
</file>