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Подписан протокол к российско-белорусскому межправительственному соглашению о едином порядке экспортного контроля от 13 апреля 1999 года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 w:firstLine="709"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Протоколом в целях дальнейшего укрепления двустороннего сотрудничества и гармонизации регулирования в сфере экспортного контроля, а также координации подходов к практической реализации мер экспортного контроля и решения задач по обеспечению национальной безопасности России и Республики Беларусь учреждается механизм двусторонних регулярных консультаций по вопросам экспортного контроля.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В рамках таких консультаций Стороны: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обмениваются информацией относительно действующих норм и изменений в законодательстве своих государств в сфере экспортного контроля;</w:t>
      </w:r>
    </w:p>
    <w:p w14:paraId="0E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обмениваются информацией об актуальных рисках и угрозах при лицензировании внешнеторговых операций;</w:t>
      </w:r>
    </w:p>
    <w:p w14:paraId="0F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рассматривают представляющие взаимный интерес вопросы совершенствования механизмов экспортного контроля;</w:t>
      </w:r>
    </w:p>
    <w:p w14:paraId="10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разрабатывают на основе учета взаимных интересов предложения и практические меры, направленные на развитие и углубление кооперационных связей между предприятиями оборонно-промышленного комплекса государств и пр. («</w:t>
      </w:r>
      <w:r>
        <w:rPr>
          <w:sz w:val="28"/>
        </w:rPr>
        <w:t>Протокол</w:t>
      </w:r>
      <w:r>
        <w:rPr>
          <w:sz w:val="28"/>
        </w:rPr>
        <w:t xml:space="preserve"> к Соглашению между Правительством Российской Федерации и Правительством Республики Белоруссия о едином порядке экспортного контроля от 13.04.1999»).</w:t>
      </w:r>
    </w:p>
    <w:p w14:paraId="11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2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3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2025-07-24T12:31:11Z</dcterms:modified>
</cp:coreProperties>
</file>