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 оформлению материалов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материалы включают: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описание практики наставничества;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документы и материалы, подтверждающие результаты практики;</w:t>
      </w:r>
      <w:r/>
    </w:p>
    <w:p>
      <w:pPr>
        <w:ind w:firstLine="70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дополнительные материалы (при наличии).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ОПИСАНИЕ РАЗДЕЛОВ ПРАКТИКИ НАСТАВНИЧЕСТВА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lang w:eastAsia="ru-RU"/>
        </w:rPr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Направление: ________________________________________________________________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Номинация: __________________________________________________________________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/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6"/>
        <w:gridCol w:w="8506"/>
      </w:tblGrid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ind w:left="502" w:hanging="468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Полное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аименование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практики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ind w:left="502" w:hanging="468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Направленность практики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 соответствии с направлениями мероприятий, проводимых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в рамках Десятилетия детства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распоряжени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  <w:t xml:space="preserve"> Правительства РФ от 23.01.2021 № 122-р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: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здоровьесбережение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с детства;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благополучие семей с детьми;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всестороннее развитие, обучение, воспитание детей;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инфраструктура детства;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защита детей, оставшихся без попечения родителей;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качество жизни детей с ограниченными возможностями здоровья, детей-инвалидов;</w:t>
            </w:r>
            <w:r/>
          </w:p>
          <w:p>
            <w:pPr>
              <w:pStyle w:val="870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безопасность детей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ind w:left="502" w:hanging="468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ФИО гражданина / 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аименование учреждения, реализующего практику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онтактная информация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(телефон, электронная почта)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ind w:left="502" w:hanging="468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4.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Информация о наставнике(ах)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(ФИО, возраст, должность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род деятельности)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ind w:hanging="4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5.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Целевая группа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(ФИО, возраст, количественный состав наставляемых)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6.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Тип, форма наставничества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7.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Актуальность практики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проблема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, на реше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ние которой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 направлена практика.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Обоснованность применения практики для указанной целевой аудитории, которая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способ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на решить указанную проблему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ind w:hanging="4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8.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Цель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задачи практики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ind w:hanging="43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ind w:hanging="43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9.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Ожидаемый результат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10.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8"/>
                <w:szCs w:val="28"/>
              </w:rPr>
              <w:t xml:space="preserve">Основная идея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color w:val="000000"/>
                <w:sz w:val="24"/>
                <w:szCs w:val="24"/>
              </w:rPr>
              <w:t xml:space="preserve">(концепция практики, определяющая ее основные главные и существенные черты) 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11.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Сроки (этапы) реализации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временной цикл реализации практики)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12.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Регламентированность практики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(перечень нормативных правовых документов, информационно-методических материалов,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регулирующих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реализацию практики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13.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Ключевые результаты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описывается достигнутый социальный эффект, отражаются качественные показатели, статистические данные, подтве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рждающие эффективность реализации практики. Отражается эффективность практики для достижения задач Десятилетия детства, Концепции государственной семейной политики в РФ и Национальных проектов. Описывается соответствие ожидаемого и достигнутого результата)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14.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Уникальность практики</w:t>
            </w:r>
            <w:r>
              <w:rPr>
                <w:rFonts w:ascii="Calibri" w:hAnsi="Calibri" w:eastAsia="Calibri" w:cs="Times New Roman"/>
              </w:rPr>
              <w:t xml:space="preserve"> 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(принципиальное отличие практики от других схожих практик, наличие уникальных элементов практики, которые выделяют ее среди других в данной номинации)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Механизм реализации практики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(поэтапное описание механизма практики: планирование; организация; мотивация; координация; анализ; контроль; за счет чего достигаются изменения в ситуации участников целевой группы, формы, методы работы и др.)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Тиражирование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(описывается универсальность практики для при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менения другими организациями 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наставниками)</w:t>
            </w:r>
            <w:r/>
          </w:p>
        </w:tc>
      </w:tr>
      <w:tr>
        <w:trPr/>
        <w:tc>
          <w:tcPr>
            <w:gridSpan w:val="2"/>
            <w:shd w:val="clear" w:color="auto" w:fill="auto"/>
            <w:tcW w:w="907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.</w:t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Документы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и материалы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, подтверждающие результаты практики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(указываются активные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 интернет-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ссылки на электронные документы,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фотограф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 xml:space="preserve">ии, статьи в СМИ, отзывы,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схемы, таблицы, рисунки, диаграммы и другие наглядные материалы,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подтвер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ждающие результаты практики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наставничества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Также указываются документы, подтверждающие участие практики в иных конкурсах наставничества и другие материалы по желанию участников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W w:w="56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85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</w:tbl>
    <w:p>
      <w:pPr>
        <w:spacing w:after="0" w:line="276" w:lineRule="auto"/>
        <w:rPr>
          <w:rFonts w:ascii="Times New Roman" w:hAnsi="Times New Roman" w:eastAsia="Calibri" w:cs="Times New Roman"/>
          <w:b/>
          <w:sz w:val="16"/>
          <w:szCs w:val="16"/>
        </w:rPr>
      </w:pPr>
      <w:r>
        <w:rPr>
          <w:rFonts w:ascii="Times New Roman" w:hAnsi="Times New Roman" w:eastAsia="Calibri" w:cs="Times New Roman"/>
          <w:b/>
          <w:sz w:val="16"/>
          <w:szCs w:val="16"/>
        </w:rPr>
      </w:r>
      <w:r/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ТЕХНИЧЕСКИЕ 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РЕБОВАНИЯ К ОФОРМЛЕНИЮ </w:t>
      </w:r>
      <w:r>
        <w:rPr>
          <w:rFonts w:ascii="Times New Roman" w:hAnsi="Times New Roman" w:eastAsia="Calibri" w:cs="Times New Roman"/>
          <w:b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ПРАКТИКИ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НАСТАВНИЧЕСТВА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r>
      <w:r/>
    </w:p>
    <w:p>
      <w:pPr>
        <w:pStyle w:val="870"/>
        <w:numPr>
          <w:ilvl w:val="0"/>
          <w:numId w:val="12"/>
        </w:numPr>
        <w:ind w:hanging="720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ормат документа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Microsoft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Office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Word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без архивации.</w:t>
      </w:r>
      <w:r/>
    </w:p>
    <w:p>
      <w:pPr>
        <w:pStyle w:val="870"/>
        <w:numPr>
          <w:ilvl w:val="0"/>
          <w:numId w:val="12"/>
        </w:numPr>
        <w:ind w:hanging="720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Ш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рифт «Times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New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R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oman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», выравнивание – по ширине.</w:t>
      </w:r>
      <w:r/>
    </w:p>
    <w:p>
      <w:pPr>
        <w:pStyle w:val="870"/>
        <w:numPr>
          <w:ilvl w:val="0"/>
          <w:numId w:val="12"/>
        </w:numPr>
        <w:ind w:left="0"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сновной текст набирается 14 кеглем через 1 интервал, заголовки (подзаголовки)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 полужирным шрифтом.</w:t>
      </w:r>
      <w:r/>
    </w:p>
    <w:p>
      <w:pPr>
        <w:pStyle w:val="870"/>
        <w:numPr>
          <w:ilvl w:val="0"/>
          <w:numId w:val="12"/>
        </w:numPr>
        <w:ind w:left="0"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оля: левое – 3 см; верхнее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нижнее – 2 см; правое – 1,5 см.</w:t>
      </w:r>
      <w:r/>
    </w:p>
    <w:p>
      <w:pPr>
        <w:pStyle w:val="870"/>
        <w:numPr>
          <w:ilvl w:val="0"/>
          <w:numId w:val="12"/>
        </w:numPr>
        <w:ind w:left="0"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Отступ, абзац – 1,25 см.</w:t>
      </w:r>
      <w:r/>
    </w:p>
    <w:p>
      <w:pPr>
        <w:pStyle w:val="870"/>
        <w:numPr>
          <w:ilvl w:val="0"/>
          <w:numId w:val="12"/>
        </w:numPr>
        <w:ind w:left="0"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окументы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материалы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под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тверждающие результаты практики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:</w:t>
      </w:r>
      <w:r/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распределяются в группы по содержанию: дипломы, грамоты благодарности; видеосюжеты, статьи в СМИ; фотографии, презентации, рецензии, пособия, схемы и т.д.;</w:t>
      </w:r>
      <w:r/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группы размещаются в облачных хранилищах файлов (Яндекс. Диск, Облако Mail.ru и др.), создается для каждой группы со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ответствующая активная интернет-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ссылка;</w:t>
      </w:r>
      <w:r/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активные интерн</w:t>
      </w:r>
      <w:r>
        <w:rPr>
          <w:rFonts w:ascii="Times New Roman" w:hAnsi="Times New Roman" w:eastAsia="Calibri" w:cs="Times New Roman"/>
          <w:sz w:val="28"/>
          <w:szCs w:val="28"/>
        </w:rPr>
        <w:t xml:space="preserve">ет-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ссылки оформляются в одно приложение и располагаются под соответствующими заголовками и подзаголовками, которые нумеру</w:t>
      </w:r>
      <w:r>
        <w:rPr>
          <w:rFonts w:ascii="Times New Roman" w:hAnsi="Times New Roman" w:eastAsia="Calibri" w:cs="Times New Roman"/>
          <w:sz w:val="28"/>
          <w:szCs w:val="28"/>
        </w:rPr>
        <w:t xml:space="preserve">ются арабскими цифрами. Печать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каждого заголовка, п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одзаголовка и активной интернет-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ссылки осуществляется с абзацного отступа.</w:t>
      </w:r>
      <w:r/>
    </w:p>
    <w:p>
      <w:pPr>
        <w:ind w:firstLine="709"/>
        <w:jc w:val="both"/>
        <w:spacing w:after="0" w:line="240" w:lineRule="auto"/>
        <w:tabs>
          <w:tab w:val="left" w:pos="284" w:leader="none"/>
          <w:tab w:val="left" w:pos="1134" w:leader="none"/>
        </w:tabs>
        <w:rPr>
          <w:rFonts w:ascii="Times New Roman" w:hAnsi="Times New Roman" w:eastAsia="Calibri" w:cs="Times New Roman"/>
          <w:sz w:val="16"/>
          <w:szCs w:val="16"/>
        </w:rPr>
      </w:pPr>
      <w:r>
        <w:rPr>
          <w:rFonts w:ascii="Times New Roman" w:hAnsi="Times New Roman" w:eastAsia="Calibri" w:cs="Times New Roman"/>
          <w:sz w:val="16"/>
          <w:szCs w:val="1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Например: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39371</wp:posOffset>
                </wp:positionV>
                <wp:extent cx="5314950" cy="1943100"/>
                <wp:effectExtent l="0" t="0" r="19050" b="1905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314950" cy="194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right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Приложение</w:t>
                            </w:r>
                            <w:r/>
                          </w:p>
                          <w:p>
                            <w:pPr>
                              <w:jc w:val="right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r>
                            <w:r/>
                          </w:p>
                          <w:p>
                            <w:pPr>
                              <w:pStyle w:val="870"/>
                              <w:numPr>
                                <w:ilvl w:val="0"/>
                                <w:numId w:val="10"/>
                              </w:numPr>
                              <w:ind w:left="0" w:firstLine="142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Документы, подтверждающие результаты практики:</w:t>
                            </w:r>
                            <w:r/>
                          </w:p>
                          <w:p>
                            <w:pPr>
                              <w:pStyle w:val="880"/>
                              <w:numPr>
                                <w:ilvl w:val="1"/>
                                <w:numId w:val="10"/>
                              </w:numPr>
                              <w:ind w:left="0" w:firstLine="142"/>
                              <w:jc w:val="both"/>
                              <w:spacing w:after="0" w:line="276" w:lineRule="auto"/>
                            </w:pPr>
                            <w:r>
                              <w:t xml:space="preserve">дипломы, грамоты благодарности</w:t>
                            </w:r>
                            <w:r/>
                          </w:p>
                          <w:p>
                            <w:pPr>
                              <w:pStyle w:val="880"/>
                              <w:ind w:firstLine="142"/>
                              <w:jc w:val="both"/>
                              <w:spacing w:after="0" w:line="276" w:lineRule="auto"/>
                            </w:pPr>
                            <w:r/>
                            <w:hyperlink r:id="rId11" w:tooltip="https://www.google.com/дипломы+грамоты" w:history="1">
                              <w:r>
                                <w:rPr>
                                  <w:rStyle w:val="881"/>
                                </w:rPr>
                                <w:t xml:space="preserve">https://www.google.com/дипломы+грамоты</w:t>
                              </w:r>
                            </w:hyperlink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Style w:val="880"/>
                              <w:numPr>
                                <w:ilvl w:val="1"/>
                                <w:numId w:val="10"/>
                              </w:numPr>
                              <w:ind w:left="0" w:firstLine="142"/>
                              <w:jc w:val="both"/>
                              <w:spacing w:after="0" w:line="276" w:lineRule="auto"/>
                            </w:pPr>
                            <w:r>
                              <w:t xml:space="preserve">и далее в соответствии с количеством подзаголовков и ссылок к ним…</w:t>
                            </w:r>
                            <w:r/>
                          </w:p>
                          <w:p>
                            <w:pPr>
                              <w:pStyle w:val="880"/>
                              <w:numPr>
                                <w:ilvl w:val="0"/>
                                <w:numId w:val="10"/>
                              </w:numPr>
                              <w:ind w:left="0" w:firstLine="142"/>
                              <w:jc w:val="both"/>
                              <w:spacing w:after="0" w:line="276" w:lineRule="auto"/>
                            </w:pPr>
                            <w:r>
                              <w:t xml:space="preserve">Материалы, подтверждающие результаты практики:</w:t>
                            </w:r>
                            <w:r/>
                          </w:p>
                          <w:p>
                            <w:pPr>
                              <w:pStyle w:val="880"/>
                              <w:numPr>
                                <w:ilvl w:val="1"/>
                                <w:numId w:val="10"/>
                              </w:numPr>
                              <w:ind w:left="0" w:firstLine="142"/>
                              <w:jc w:val="both"/>
                              <w:spacing w:after="0" w:line="276" w:lineRule="auto"/>
                            </w:pPr>
                            <w:r>
                              <w:t xml:space="preserve">схемы и диаграммы</w:t>
                            </w:r>
                            <w:r/>
                          </w:p>
                          <w:p>
                            <w:pPr>
                              <w:pStyle w:val="880"/>
                              <w:ind w:firstLine="142"/>
                              <w:jc w:val="both"/>
                              <w:spacing w:after="0" w:line="276" w:lineRule="auto"/>
                            </w:pPr>
                            <w:r/>
                            <w:hyperlink r:id="rId12" w:tooltip="https://www.google.com/схемы+диаграммы" w:history="1">
                              <w:r>
                                <w:rPr>
                                  <w:rStyle w:val="881"/>
                                </w:rPr>
                                <w:t xml:space="preserve">https://www.google.com/схемы+диаграммы</w:t>
                              </w:r>
                            </w:hyperlink>
                            <w:r>
                              <w:t xml:space="preserve"> </w:t>
                            </w:r>
                            <w:r/>
                          </w:p>
                          <w:p>
                            <w:pPr>
                              <w:pStyle w:val="870"/>
                              <w:numPr>
                                <w:ilvl w:val="1"/>
                                <w:numId w:val="10"/>
                              </w:numPr>
                              <w:ind w:left="0" w:firstLine="142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далее в соответствии с количеством подзаголовков и ссылок к ним…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59264;o:allowoverlap:true;o:allowincell:true;mso-position-horizontal-relative:text;margin-left:33.4pt;mso-position-horizontal:absolute;mso-position-vertical-relative:text;margin-top:3.1pt;mso-position-vertical:absolute;width:418.5pt;height:153.0pt;mso-wrap-distance-left:9.0pt;mso-wrap-distance-top:0.0pt;mso-wrap-distance-right:9.0pt;mso-wrap-distance-bottom:0.0pt;v-text-anchor:top;visibility:visible;" fillcolor="#FFFFFF" strokecolor="#000000" strokeweight="0.50pt">
                <v:textbox inset="0,0,0,0">
                  <w:txbxContent>
                    <w:p>
                      <w:pPr>
                        <w:jc w:val="right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Приложение</w:t>
                      </w:r>
                      <w:r/>
                    </w:p>
                    <w:p>
                      <w:pPr>
                        <w:jc w:val="right"/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r>
                      <w:r/>
                    </w:p>
                    <w:p>
                      <w:pPr>
                        <w:pStyle w:val="870"/>
                        <w:numPr>
                          <w:ilvl w:val="0"/>
                          <w:numId w:val="10"/>
                        </w:numPr>
                        <w:ind w:left="0" w:firstLine="142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Документы, подтверждающие результаты практики:</w:t>
                      </w:r>
                      <w:r/>
                    </w:p>
                    <w:p>
                      <w:pPr>
                        <w:pStyle w:val="880"/>
                        <w:numPr>
                          <w:ilvl w:val="1"/>
                          <w:numId w:val="10"/>
                        </w:numPr>
                        <w:ind w:left="0" w:firstLine="142"/>
                        <w:jc w:val="both"/>
                        <w:spacing w:after="0" w:line="276" w:lineRule="auto"/>
                      </w:pPr>
                      <w:r>
                        <w:t xml:space="preserve">дипломы, грамоты благодарности</w:t>
                      </w:r>
                      <w:r/>
                    </w:p>
                    <w:p>
                      <w:pPr>
                        <w:pStyle w:val="880"/>
                        <w:ind w:firstLine="142"/>
                        <w:jc w:val="both"/>
                        <w:spacing w:after="0" w:line="276" w:lineRule="auto"/>
                      </w:pPr>
                      <w:r/>
                      <w:hyperlink r:id="rId11" w:tooltip="https://www.google.com/дипломы+грамоты" w:history="1">
                        <w:r>
                          <w:rPr>
                            <w:rStyle w:val="881"/>
                          </w:rPr>
                          <w:t xml:space="preserve">https://www.google.com/дипломы+грамоты</w:t>
                        </w:r>
                      </w:hyperlink>
                      <w:r>
                        <w:t xml:space="preserve"> </w:t>
                      </w:r>
                      <w:r/>
                    </w:p>
                    <w:p>
                      <w:pPr>
                        <w:pStyle w:val="880"/>
                        <w:numPr>
                          <w:ilvl w:val="1"/>
                          <w:numId w:val="10"/>
                        </w:numPr>
                        <w:ind w:left="0" w:firstLine="142"/>
                        <w:jc w:val="both"/>
                        <w:spacing w:after="0" w:line="276" w:lineRule="auto"/>
                      </w:pPr>
                      <w:r>
                        <w:t xml:space="preserve">и далее в соответствии с количеством подзаголовков и ссылок к ним…</w:t>
                      </w:r>
                      <w:r/>
                    </w:p>
                    <w:p>
                      <w:pPr>
                        <w:pStyle w:val="880"/>
                        <w:numPr>
                          <w:ilvl w:val="0"/>
                          <w:numId w:val="10"/>
                        </w:numPr>
                        <w:ind w:left="0" w:firstLine="142"/>
                        <w:jc w:val="both"/>
                        <w:spacing w:after="0" w:line="276" w:lineRule="auto"/>
                      </w:pPr>
                      <w:r>
                        <w:t xml:space="preserve">Материалы, подтверждающие результаты практики:</w:t>
                      </w:r>
                      <w:r/>
                    </w:p>
                    <w:p>
                      <w:pPr>
                        <w:pStyle w:val="880"/>
                        <w:numPr>
                          <w:ilvl w:val="1"/>
                          <w:numId w:val="10"/>
                        </w:numPr>
                        <w:ind w:left="0" w:firstLine="142"/>
                        <w:jc w:val="both"/>
                        <w:spacing w:after="0" w:line="276" w:lineRule="auto"/>
                      </w:pPr>
                      <w:r>
                        <w:t xml:space="preserve">схемы и диаграммы</w:t>
                      </w:r>
                      <w:r/>
                    </w:p>
                    <w:p>
                      <w:pPr>
                        <w:pStyle w:val="880"/>
                        <w:ind w:firstLine="142"/>
                        <w:jc w:val="both"/>
                        <w:spacing w:after="0" w:line="276" w:lineRule="auto"/>
                      </w:pPr>
                      <w:r/>
                      <w:hyperlink r:id="rId12" w:tooltip="https://www.google.com/схемы+диаграммы" w:history="1">
                        <w:r>
                          <w:rPr>
                            <w:rStyle w:val="881"/>
                          </w:rPr>
                          <w:t xml:space="preserve">https://www.google.com/схемы+диаграммы</w:t>
                        </w:r>
                      </w:hyperlink>
                      <w:r>
                        <w:t xml:space="preserve"> </w:t>
                      </w:r>
                      <w:r/>
                    </w:p>
                    <w:p>
                      <w:pPr>
                        <w:pStyle w:val="870"/>
                        <w:numPr>
                          <w:ilvl w:val="1"/>
                          <w:numId w:val="10"/>
                        </w:numPr>
                        <w:ind w:left="0" w:firstLine="142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далее в соответствии с количеством подзаголовков и ссылок к ним…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jc w:val="both"/>
        <w:spacing w:after="0" w:line="276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Общий объем практики (без пр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иложений) не должен превышать 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br/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12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 страниц.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ритерии</w:t>
      </w:r>
      <w:r>
        <w:rPr>
          <w:rFonts w:ascii="Times New Roman" w:hAnsi="Times New Roman" w:cs="Times New Roman"/>
          <w:sz w:val="28"/>
          <w:szCs w:val="28"/>
        </w:rPr>
        <w:t xml:space="preserve"> и показатели оценки </w:t>
      </w:r>
      <w:r>
        <w:rPr>
          <w:rFonts w:ascii="Times New Roman" w:hAnsi="Times New Roman" w:cs="Times New Roman"/>
          <w:sz w:val="28"/>
          <w:szCs w:val="28"/>
        </w:rPr>
        <w:t xml:space="preserve"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ежегодном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лучших практик наставничества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лучших наставников детей, в</w:t>
      </w:r>
      <w:r>
        <w:rPr>
          <w:rFonts w:ascii="Times New Roman" w:hAnsi="Times New Roman" w:cs="Times New Roman"/>
          <w:sz w:val="28"/>
          <w:szCs w:val="28"/>
        </w:rPr>
        <w:t xml:space="preserve"> том числе детей-сирот и детей, </w:t>
      </w:r>
      <w:r>
        <w:rPr>
          <w:rFonts w:ascii="Times New Roman" w:hAnsi="Times New Roman" w:cs="Times New Roman"/>
          <w:sz w:val="28"/>
          <w:szCs w:val="28"/>
        </w:rPr>
        <w:t xml:space="preserve">оставшихся без попечения родит</w:t>
      </w:r>
      <w:r>
        <w:rPr>
          <w:rFonts w:ascii="Times New Roman" w:hAnsi="Times New Roman" w:cs="Times New Roman"/>
          <w:sz w:val="28"/>
          <w:szCs w:val="28"/>
        </w:rPr>
        <w:t xml:space="preserve">елей, детей, попавших в трудную </w:t>
      </w:r>
      <w:r>
        <w:rPr>
          <w:rFonts w:ascii="Times New Roman" w:hAnsi="Times New Roman" w:cs="Times New Roman"/>
          <w:sz w:val="28"/>
          <w:szCs w:val="28"/>
        </w:rPr>
        <w:t xml:space="preserve">жизненную ситуацию, лиц из числа дете</w:t>
      </w:r>
      <w:r>
        <w:rPr>
          <w:rFonts w:ascii="Times New Roman" w:hAnsi="Times New Roman" w:cs="Times New Roman"/>
          <w:sz w:val="28"/>
          <w:szCs w:val="28"/>
        </w:rPr>
        <w:t xml:space="preserve">й-сирот и детей, оставшихся без </w:t>
      </w:r>
      <w:r>
        <w:rPr>
          <w:rFonts w:ascii="Times New Roman" w:hAnsi="Times New Roman" w:cs="Times New Roman"/>
          <w:sz w:val="28"/>
          <w:szCs w:val="28"/>
        </w:rPr>
        <w:t xml:space="preserve">попечения родителей</w:t>
      </w:r>
      <w:r/>
    </w:p>
    <w:p>
      <w:pPr>
        <w:ind w:firstLine="709"/>
        <w:jc w:val="center"/>
        <w:spacing w:after="0" w:line="276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</w:r>
      <w:r/>
    </w:p>
    <w:tbl>
      <w:tblPr>
        <w:tblStyle w:val="882"/>
        <w:tblW w:w="0" w:type="auto"/>
        <w:tblLook w:val="04A0" w:firstRow="1" w:lastRow="0" w:firstColumn="1" w:lastColumn="0" w:noHBand="0" w:noVBand="1"/>
      </w:tblPr>
      <w:tblGrid>
        <w:gridCol w:w="2640"/>
        <w:gridCol w:w="4627"/>
        <w:gridCol w:w="1510"/>
      </w:tblGrid>
      <w:tr>
        <w:trPr/>
        <w:tc>
          <w:tcPr>
            <w:tcW w:w="26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Критерий</w:t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</w:t>
            </w:r>
            <w:r/>
          </w:p>
        </w:tc>
      </w:tr>
      <w:tr>
        <w:trPr/>
        <w:tc>
          <w:tcPr>
            <w:tcW w:w="26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тиражирования</w:t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носит универсальный характер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может быть применима другими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физическими лицами двух и более отраслей.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не привязана к конкретным носителям.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Компетенции, организационные схемы могут быть переданы другим субъектам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имеет потенциал для внедрения в 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не привязана к конкретным носителям. 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Компетенции, организационные схемы могут быть переданы другим субъектам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имеет потенциал для внедрения отдельными физическими лицами / организациями отрасли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</w:t>
            </w:r>
            <w:r/>
          </w:p>
        </w:tc>
      </w:tr>
      <w:tr>
        <w:trPr/>
        <w:tc>
          <w:tcPr>
            <w:tcW w:w="26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масштабирования</w:t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реализации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увеличено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изменения качества результата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комплекс базовых и дополнительных рекомендаций для реализации практики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реализации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увеличено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изменения качества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при условии разработки комплекса базовых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дополнительных рекомендаций для ее реализации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ходе реализации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участников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увеличено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изменения качества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при условии методического сопровождения деятельности наставников на всех этапах реализации процесса наставничества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</w:t>
            </w:r>
            <w:r/>
          </w:p>
        </w:tc>
      </w:tr>
      <w:tr>
        <w:trPr/>
        <w:tc>
          <w:tcPr>
            <w:tcW w:w="26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Регламентированность практики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 разделы практики структурированы, представляют тематически завершенное единство.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Дано полное и достаточное для понимания описание механизма реализации практики.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Ключевые контрольные точки визуализированы,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группируют основные мероприятия практики и их ожидаемые результаты по этапам.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Практика в полном объеме обеспечена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нормативными документами, информационно-методическими материалами, регулирующими ее реализацию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Все разделы практики структурированы, логически взаимосвязаны.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Для полного и достаточного понимания механизма реализации практики необходимы пояснения и дополнения.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Ключевые контрольные точки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группируют основные мероприятия практики и их ожидаемые результаты по этапам.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Имеются недочеты в представлении нормативных документов, информационно-методических материалов, регулирующих реализацию практики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Имеются недочеты в описании разделов практики, в структурировании информации. 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Описание механизма реализации практики недостаточно детализировано для его полного и достаточного понимания.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Ключевые контрольные точки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группируют основные мероприятия практики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но не полной мере описаны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ожидаемые результаты по этапам.</w:t>
            </w:r>
            <w:r/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Практика не обеспечена нормативными документами, информационно-методическими материалами, регулирующими ее реализацию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</w:t>
            </w:r>
            <w:r/>
          </w:p>
        </w:tc>
      </w:tr>
      <w:tr>
        <w:trPr/>
        <w:tc>
          <w:tcPr>
            <w:tcW w:w="26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практики</w:t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Результаты достигнуты в полном объеме, соответствуют поставленной цели.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Количественные и качественные критерии оценки эффективности деятельности сформированы обоснованно, подтверждают результативность выбранных методик и технологий.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Инструментарий оценки достижения результатов позволяет определить совпадение конечных результатов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с поставленной целью и ожидаемыми результатами.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Результаты подтверждены фотографиями, индивидуальными достижениями участников целевой группы, статьями в СМИ, отзывами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Результаты достигнуты в полном объеме, но не в полной мере соответствуют поставленной цели.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Количественные и качественные критерии оценки эффективности деятельности сформированы, подтверждают результативность выбранных методик и технологий.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Инструментарий оценки достижения результатов позволяет определить совпадение конечных результатов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с поставленной целью и ожидаемыми результатами, но в описании инструментария имеются недочеты.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Результаты фрагментарно подтверждены фотографиями, индивидуальными достижениями участников целевой группы, статьями в СМИ, отзывами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Результаты взаимосвязаны с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поставленной целью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но достигнуты не в полном объеме.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Сформированные количественные и качественные критерии оценки эффективности деятельности не в полном объеме подтверждают результативность выбранных методик и технологий.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Инструментарий оценки достижения результатов не в полном объеме позволяет определить совпадение конечных результатов с поставленной целью и ожидаемыми результатами.</w:t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в документах, подтверждающих результаты практики, представлена общими фразами или ее недостаточно для проведения оценки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</w:t>
            </w:r>
            <w:r/>
          </w:p>
        </w:tc>
      </w:tr>
      <w:tr>
        <w:trPr/>
        <w:tc>
          <w:tcPr>
            <w:tcW w:w="26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практики</w:t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направлена на внедрение новых или значительно улучшенных процессов, методов, технологий.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включает уникальные элементы, которые выделяют ее среди других в данной номинации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сравнительном контексте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направлена на внедрение значительно улучшенных процессов, методов, технологий.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мероприятий не позволяет сделать вывод о том, что практика является уникальной в сравнении с аналогичными в данной номинации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является продолжением уже существующих процессов, методов, технологий.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мероприятий не позволяет сделать вывод о том, что практика является уникальной в сравнении с аналогичными в данной номинации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</w:t>
            </w:r>
            <w:r/>
          </w:p>
        </w:tc>
      </w:tr>
      <w:tr>
        <w:trPr/>
        <w:tc>
          <w:tcPr>
            <w:tcW w:w="2640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практики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решения задач Десятилетия детства, Концепции государственной семейной политики в Российской Федерации и национальных проектов</w:t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от 91 % до 100 % положительной динамики у участников целевой группы в решении определенной проблемы 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7-9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от 71 % до 90 % положительной динамики у участников целевой группы в решении определенной проблемы 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4-6</w:t>
            </w:r>
            <w:r/>
          </w:p>
        </w:tc>
      </w:tr>
      <w:tr>
        <w:trPr/>
        <w:tc>
          <w:tcPr>
            <w:tcW w:w="2640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2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Наличие от 50 % до 70 % положительной динамики у участников целевой группы в решении определенной проблемы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/>
          </w:p>
        </w:tc>
        <w:tc>
          <w:tcPr>
            <w:tcW w:w="15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1-3</w:t>
            </w:r>
            <w:r/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8"/>
          <w:szCs w:val="28"/>
        </w:rPr>
      </w:pPr>
      <w:r>
        <w:rPr>
          <w:rFonts w:ascii="Times New Roman" w:hAnsi="Times New Roman" w:eastAsia="Calibri" w:cs="Times New Roman"/>
          <w:bCs/>
          <w:sz w:val="28"/>
          <w:szCs w:val="28"/>
        </w:rPr>
        <w:t xml:space="preserve">Оценка конкурсных материалов производится в соответствии показателями по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каждому критерию по шкале от 1 до 9 баллов, где 7-9 баллов – соответствие показателю; 4-6 баллов – соответствие показателю при незначительных отклонениях; 1-3 балла – соответствие показателю при значительных отклонениях. Максимальное количество баллов 54.</w:t>
      </w:r>
      <w:r/>
    </w:p>
    <w:p>
      <w:pPr>
        <w:ind w:firstLine="709"/>
        <w:jc w:val="both"/>
        <w:spacing w:after="0" w:line="276" w:lineRule="auto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418" w:right="1418" w:bottom="141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36797420"/>
      <w:docPartObj>
        <w:docPartGallery w:val="Page Numbers (Top of Page)"/>
        <w:docPartUnique w:val="true"/>
      </w:docPartObj>
      <w:rPr/>
    </w:sdtPr>
    <w:sdtContent>
      <w:p>
        <w:pPr>
          <w:pStyle w:val="87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7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4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60"/>
      <w:numFmt w:val="decimal"/>
      <w:isLgl/>
      <w:suff w:val="tab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/>
      <w:suff w:val="tab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/>
      <w:suff w:val="tab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40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62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48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562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/>
      <w:suff w:val="tab"/>
      <w:lvlText w:val="5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2">
    <w:multiLevelType w:val="hybridMultilevel"/>
    <w:lvl w:ilvl="0">
      <w:start w:val="1"/>
      <w:numFmt w:val="decimal"/>
      <w:isLgl/>
      <w:suff w:val="tab"/>
      <w:lvlText w:val="3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3">
    <w:multiLevelType w:val="hybridMultilevel"/>
    <w:lvl w:ilvl="0">
      <w:start w:val="1"/>
      <w:numFmt w:val="decimal"/>
      <w:isLgl/>
      <w:suff w:val="tab"/>
      <w:lvlText w:val="4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/>
      <w:suff w:val="tab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/>
      <w:suff w:val="tab"/>
      <w:lvlText w:val="2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17"/>
  </w:num>
  <w:num w:numId="8">
    <w:abstractNumId w:val="16"/>
  </w:num>
  <w:num w:numId="9">
    <w:abstractNumId w:val="8"/>
  </w:num>
  <w:num w:numId="10">
    <w:abstractNumId w:val="10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15"/>
  </w:num>
  <w:num w:numId="16">
    <w:abstractNumId w:val="14"/>
  </w:num>
  <w:num w:numId="17">
    <w:abstractNumId w:val="13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4">
    <w:name w:val="Heading 1"/>
    <w:basedOn w:val="866"/>
    <w:next w:val="866"/>
    <w:link w:val="6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5">
    <w:name w:val="Heading 1 Char"/>
    <w:basedOn w:val="867"/>
    <w:link w:val="694"/>
    <w:uiPriority w:val="9"/>
    <w:rPr>
      <w:rFonts w:ascii="Arial" w:hAnsi="Arial" w:eastAsia="Arial" w:cs="Arial"/>
      <w:sz w:val="40"/>
      <w:szCs w:val="40"/>
    </w:rPr>
  </w:style>
  <w:style w:type="paragraph" w:styleId="696">
    <w:name w:val="Heading 2"/>
    <w:basedOn w:val="866"/>
    <w:next w:val="866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7">
    <w:name w:val="Heading 2 Char"/>
    <w:basedOn w:val="867"/>
    <w:link w:val="696"/>
    <w:uiPriority w:val="9"/>
    <w:rPr>
      <w:rFonts w:ascii="Arial" w:hAnsi="Arial" w:eastAsia="Arial" w:cs="Arial"/>
      <w:sz w:val="34"/>
    </w:rPr>
  </w:style>
  <w:style w:type="paragraph" w:styleId="698">
    <w:name w:val="Heading 3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9">
    <w:name w:val="Heading 3 Char"/>
    <w:basedOn w:val="867"/>
    <w:link w:val="698"/>
    <w:uiPriority w:val="9"/>
    <w:rPr>
      <w:rFonts w:ascii="Arial" w:hAnsi="Arial" w:eastAsia="Arial" w:cs="Arial"/>
      <w:sz w:val="30"/>
      <w:szCs w:val="30"/>
    </w:rPr>
  </w:style>
  <w:style w:type="paragraph" w:styleId="700">
    <w:name w:val="Heading 4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1">
    <w:name w:val="Heading 4 Char"/>
    <w:basedOn w:val="867"/>
    <w:link w:val="700"/>
    <w:uiPriority w:val="9"/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3">
    <w:name w:val="Heading 5 Char"/>
    <w:basedOn w:val="86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7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66"/>
    <w:next w:val="866"/>
    <w:link w:val="7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7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66"/>
    <w:next w:val="866"/>
    <w:link w:val="7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7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66"/>
    <w:next w:val="866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7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Title"/>
    <w:basedOn w:val="866"/>
    <w:next w:val="866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7"/>
    <w:link w:val="712"/>
    <w:uiPriority w:val="10"/>
    <w:rPr>
      <w:sz w:val="48"/>
      <w:szCs w:val="48"/>
    </w:rPr>
  </w:style>
  <w:style w:type="paragraph" w:styleId="714">
    <w:name w:val="Subtitle"/>
    <w:basedOn w:val="866"/>
    <w:next w:val="866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7"/>
    <w:link w:val="714"/>
    <w:uiPriority w:val="11"/>
    <w:rPr>
      <w:sz w:val="24"/>
      <w:szCs w:val="24"/>
    </w:rPr>
  </w:style>
  <w:style w:type="paragraph" w:styleId="716">
    <w:name w:val="Quote"/>
    <w:basedOn w:val="866"/>
    <w:next w:val="866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6"/>
    <w:next w:val="866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7"/>
    <w:link w:val="871"/>
    <w:uiPriority w:val="99"/>
  </w:style>
  <w:style w:type="character" w:styleId="721">
    <w:name w:val="Footer Char"/>
    <w:basedOn w:val="867"/>
    <w:link w:val="873"/>
    <w:uiPriority w:val="99"/>
  </w:style>
  <w:style w:type="paragraph" w:styleId="722">
    <w:name w:val="Caption"/>
    <w:basedOn w:val="866"/>
    <w:next w:val="86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73"/>
    <w:uiPriority w:val="99"/>
  </w:style>
  <w:style w:type="table" w:styleId="724">
    <w:name w:val="Table Grid Light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Plain Table 1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2"/>
    <w:basedOn w:val="86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8">
    <w:name w:val="Plain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Plain Table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>
    <w:name w:val="Grid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2">
    <w:name w:val="Grid Table 4 - Accent 1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3">
    <w:name w:val="Grid Table 4 - Accent 2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Grid Table 4 - Accent 3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5">
    <w:name w:val="Grid Table 4 - Accent 4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Grid Table 4 - Accent 5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7">
    <w:name w:val="Grid Table 4 - Accent 6"/>
    <w:basedOn w:val="8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8">
    <w:name w:val="Grid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5">
    <w:name w:val="Grid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6">
    <w:name w:val="Grid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7">
    <w:name w:val="Grid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8">
    <w:name w:val="Grid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9">
    <w:name w:val="Grid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0">
    <w:name w:val="Grid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7">
    <w:name w:val="List Table 2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8">
    <w:name w:val="List Table 2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9">
    <w:name w:val="List Table 2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0">
    <w:name w:val="List Table 2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1">
    <w:name w:val="List Table 2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2">
    <w:name w:val="List Table 2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3">
    <w:name w:val="List Table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5 Dark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6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5">
    <w:name w:val="List Table 6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6">
    <w:name w:val="List Table 6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List Table 6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8">
    <w:name w:val="List Table 6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List Table 6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0">
    <w:name w:val="List Table 6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1">
    <w:name w:val="List Table 7 Colorful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2">
    <w:name w:val="List Table 7 Colorful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3">
    <w:name w:val="List Table 7 Colorful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4">
    <w:name w:val="List Table 7 Colorful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5">
    <w:name w:val="List Table 7 Colorful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6">
    <w:name w:val="List Table 7 Colorful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7">
    <w:name w:val="List Table 7 Colorful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8">
    <w:name w:val="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 &amp; Lined - Accent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Bordered &amp; Lined - Accent 1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Bordered &amp; Lined - Accent 2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Bordered &amp; Lined - Accent 3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Bordered &amp; Lined - Accent 4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Bordered &amp; Lined - Accent 5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Bordered &amp; Lined - Accent 6"/>
    <w:basedOn w:val="86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3">
    <w:name w:val="Bordered - Accent 1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4">
    <w:name w:val="Bordered - Accent 2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5">
    <w:name w:val="Bordered - Accent 3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6">
    <w:name w:val="Bordered - Accent 4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7">
    <w:name w:val="Bordered - Accent 5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8">
    <w:name w:val="Bordered - Accent 6"/>
    <w:basedOn w:val="8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basedOn w:val="867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basedOn w:val="867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qFormat/>
  </w:style>
  <w:style w:type="character" w:styleId="867" w:default="1">
    <w:name w:val="Default Paragraph Font"/>
    <w:uiPriority w:val="1"/>
    <w:semiHidden/>
    <w:unhideWhenUsed/>
  </w:style>
  <w:style w:type="table" w:styleId="8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9" w:default="1">
    <w:name w:val="No List"/>
    <w:uiPriority w:val="99"/>
    <w:semiHidden/>
    <w:unhideWhenUsed/>
  </w:style>
  <w:style w:type="paragraph" w:styleId="870">
    <w:name w:val="List Paragraph"/>
    <w:basedOn w:val="866"/>
    <w:uiPriority w:val="34"/>
    <w:qFormat/>
    <w:pPr>
      <w:contextualSpacing/>
      <w:ind w:left="720"/>
    </w:pPr>
  </w:style>
  <w:style w:type="paragraph" w:styleId="871">
    <w:name w:val="Header"/>
    <w:basedOn w:val="866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basedOn w:val="867"/>
    <w:link w:val="871"/>
    <w:uiPriority w:val="99"/>
  </w:style>
  <w:style w:type="paragraph" w:styleId="873">
    <w:name w:val="Footer"/>
    <w:basedOn w:val="866"/>
    <w:link w:val="87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basedOn w:val="867"/>
    <w:link w:val="873"/>
    <w:uiPriority w:val="99"/>
  </w:style>
  <w:style w:type="paragraph" w:styleId="875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876" w:customStyle="1">
    <w:name w:val="Основной текст_"/>
    <w:basedOn w:val="867"/>
    <w:link w:val="878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styleId="877" w:customStyle="1">
    <w:name w:val="Основной текст (5)_"/>
    <w:basedOn w:val="867"/>
    <w:link w:val="879"/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878" w:customStyle="1">
    <w:name w:val="Основной текст6"/>
    <w:basedOn w:val="866"/>
    <w:link w:val="876"/>
    <w:pPr>
      <w:ind w:hanging="680"/>
      <w:jc w:val="both"/>
      <w:spacing w:before="660" w:after="0" w:line="475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879" w:customStyle="1">
    <w:name w:val="Основной текст (5)"/>
    <w:basedOn w:val="866"/>
    <w:link w:val="877"/>
    <w:pPr>
      <w:spacing w:before="420" w:after="0" w:line="479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880">
    <w:name w:val="Normal (Web)"/>
    <w:basedOn w:val="866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styleId="881">
    <w:name w:val="Hyperlink"/>
    <w:basedOn w:val="867"/>
    <w:uiPriority w:val="99"/>
    <w:unhideWhenUsed/>
    <w:rPr>
      <w:color w:val="0563c1" w:themeColor="hyperlink"/>
      <w:u w:val="single"/>
    </w:rPr>
  </w:style>
  <w:style w:type="table" w:styleId="882">
    <w:name w:val="Table Grid"/>
    <w:basedOn w:val="86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3">
    <w:name w:val="Balloon Text"/>
    <w:basedOn w:val="866"/>
    <w:link w:val="88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867"/>
    <w:link w:val="88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google.com/&#1076;&#1080;&#1087;&#1083;&#1086;&#1084;&#1099;+&#1075;&#1088;&#1072;&#1084;&#1086;&#1090;&#1099;" TargetMode="External"/><Relationship Id="rId12" Type="http://schemas.openxmlformats.org/officeDocument/2006/relationships/hyperlink" Target="https://www.google.com/&#1089;&#1093;&#1077;&#1084;&#1099;+&#1076;&#1080;&#1072;&#1075;&#1088;&#1072;&#1084;&#1084;&#1099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B8A67-E19E-4F59-AA76-A7015BA95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Овчинникова Елена Викторовна </dc:creator>
  <cp:keywords/>
  <dc:description/>
  <cp:revision>113</cp:revision>
  <dcterms:created xsi:type="dcterms:W3CDTF">2022-03-15T09:06:00Z</dcterms:created>
  <dcterms:modified xsi:type="dcterms:W3CDTF">2025-07-09T10:05:56Z</dcterms:modified>
</cp:coreProperties>
</file>