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Подписан закон об удостоверении командирами воинских частей доверенностей и завещаний граждан, пребывающих в добровольческих формированиях, предусмотренных Федеральным законом «Об обороне»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Командиры (начальники)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 также смогут удостоверять подпись гражданина, пребывающего в добровольческом формировании, на заявлении об определении на случай его смерти опекуна или попечителя ребенку.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204-ФЗ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2025-07-14T12:16:55Z</dcterms:modified>
</cp:coreProperties>
</file>