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Президент РФ поручил обеспечить создание в 2025-2026 годах центров новых возможностей в образовательных организациях высшего образования и профессиональных образовательных организациях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Также поручено в числе прочего: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обеспечить реализацию проекта, направленного на выявление и поддержку талантливых студентов, обучающихся по образовательным программам среднего профессионального образования по профессиям и специальностям, соответствующим задачам обеспечения технологической независимости и технологического лидерства РФ;</w:t>
      </w:r>
    </w:p>
    <w:p w14:paraId="0D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рассмотреть вопрос о создании программы развития молодежной уличной культуры и спорта в РФ;</w:t>
      </w:r>
    </w:p>
    <w:p w14:paraId="0E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разработать проект, включающий в себя проведение конкурса, для выявления перспективных руководителей в области сельского хозяйства, обладающих выдающимися лидерскими и управленческими качествами («</w:t>
      </w:r>
      <w:r>
        <w:rPr>
          <w:sz w:val="28"/>
        </w:rPr>
        <w:t>Перечень</w:t>
      </w:r>
      <w:r>
        <w:rPr>
          <w:sz w:val="28"/>
        </w:rPr>
        <w:t xml:space="preserve"> поручений по итогам заседания наблюдательного совета АНО «Россия - страна возможностей»</w:t>
      </w:r>
      <w:r>
        <w:rPr>
          <w:sz w:val="28"/>
        </w:rPr>
        <w:t>(утв. Президентом РФ 16.07.2025 № Пр-1607)</w:t>
      </w:r>
      <w:r>
        <w:rPr>
          <w:sz w:val="28"/>
        </w:rPr>
        <w:t>.</w:t>
      </w:r>
    </w:p>
    <w:p w14:paraId="0F000000">
      <w:pPr>
        <w:widowControl w:val="0"/>
        <w:spacing w:before="0"/>
        <w:ind w:firstLine="709"/>
        <w:jc w:val="both"/>
        <w:rPr>
          <w:sz w:val="28"/>
        </w:rPr>
      </w:pPr>
    </w:p>
    <w:p w14:paraId="10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1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2025-07-24T12:24:53Z</dcterms:modified>
</cp:coreProperties>
</file>