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 1 марта 2027 года изменится порядок проведения внеочередного обязательного медицинского освидетельствования водителей транспортных средств</w:t>
      </w:r>
    </w:p>
    <w:p w14:paraId="0A000000">
      <w:pPr>
        <w:ind w:firstLine="850" w:left="0"/>
        <w:jc w:val="both"/>
        <w:rPr>
          <w:sz w:val="28"/>
        </w:rPr>
      </w:pPr>
    </w:p>
    <w:p w14:paraId="0B000000">
      <w:pPr>
        <w:ind w:firstLine="850" w:left="0"/>
        <w:jc w:val="both"/>
        <w:rPr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Скорректированы основания для направления водителя на внеочередное обязательное медицинское освидетельствование.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обязательного медицинского освидетельствования или внеочередного обязательного медицинского освидетельствования медицинской организацией (за исключением медицинских организаций федеральных органов исполнительной власти, в которых федеральными законами предусмотрена военная служба или приравненная к ней служба) формируется медицинское заключение в форме электронного документа. Медицинское заключение размещается в федеральном реестре документов, содержащем сведения о результатах медицинских освидетельствований, который ведется в ЕГИСЗ.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Водителю транспортного средства, получившему уведомление о необходимости прохождения внеочередного обязательного медицинского освидетельствования, необходимо будет его пройти в течение трех месяцев. Неисполнение данной обязанности послужит основанием прекращения действия права на управление транспортными средствами.</w:t>
      </w:r>
    </w:p>
    <w:p w14:paraId="0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на управление транспортными средствами, действие которого прекращено в том числе по указанному основанию, восстанавливается при наличии медицинского заключения, подтверждающего отсутствие медицинских противопоказаний к управлению транспортными средствами, с учетом медицинских ограничений к управлению транспортными средствами (</w:t>
      </w:r>
      <w:r>
        <w:rPr>
          <w:rFonts w:ascii="Times New Roman" w:hAnsi="Times New Roman"/>
          <w:sz w:val="28"/>
        </w:rPr>
        <w:t xml:space="preserve">Федеральный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 xml:space="preserve"> от 07.07.2025 № 200-ФЗ «</w:t>
      </w:r>
      <w:r>
        <w:rPr>
          <w:rFonts w:ascii="Times New Roman" w:hAnsi="Times New Roman"/>
          <w:sz w:val="28"/>
        </w:rPr>
        <w:t>О внесении изменений в Федеральный закон «О безопасности дорожного движения" и статью 10 Федерального закона «О персональных данных»).</w:t>
      </w:r>
    </w:p>
    <w:p w14:paraId="10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2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2025-07-14T12:24:52Z</dcterms:modified>
</cp:coreProperties>
</file>