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Обращение цифровых валют в РФ: законопроект подготовлен ко второму чтению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Законопроектом регулируются: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отношения, возникающие при организации обращения, учете и обращении цифровых валют и иностранных цифровых инструментов, а также при майнинге цифровых валют, размещении, организации обращения, учете и обращении цифровых прав;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деятельность оператора информационной системы, в которой осуществляется выпуск цифровых финансовых активов, организации, осуществляющей обмен цифровых валют, и цифрового депозитария, а также деятельность брокера, управляющего, управляющей компании, организатора торговли, клиринговой организации, связанная с организацией обращения цифровых валют и цифровых прав.</w:t>
      </w: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Законопроект в том числе вводит понятие "иностранный цифровой инструмент", предусматривает приостановление операций с цифровыми валютами на 48 часов в определенных случаях, закрепляет право Правительства РФ устанавливать особый режим организации обращения и обращения цифровых валют.</w:t>
      </w:r>
    </w:p>
    <w:p w14:paraId="0F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Доработаны положения законопроекта об ограничениях переводов денежных средств и приема платежей при незаконной организации обращения цифровых валют (включая закрепление понятия "неуполномоченный получатель"), а также положения о приеме цифровых валют и цифровых прав в качестве средства платежа.</w:t>
      </w:r>
    </w:p>
    <w:p w14:paraId="10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Устанавливается, что в РФ не допускается делать оферты и приглашать делать оферты о приобретении цифровых валют лицами, по поручениям которых брокер не вправе приобретать цифровые валюты, а также не допускаются публичные оферты о приобретении цифровых валют и цифровых прав в обмен на ценные бумаги.</w:t>
      </w:r>
    </w:p>
    <w:p w14:paraId="11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закона он вступит в силу с 1 сентября 2026 года, за исключением положений, для которых устанавливаются иные сроки вступления их в силу. (</w:t>
      </w:r>
      <w:r>
        <w:rPr>
          <w:rFonts w:ascii="Times New Roman" w:hAnsi="Times New Roman"/>
          <w:color w:val="0000FF"/>
          <w:sz w:val="28"/>
        </w:rPr>
        <w:fldChar w:fldCharType="begin"/>
      </w:r>
      <w:r>
        <w:rPr>
          <w:rFonts w:ascii="Times New Roman" w:hAnsi="Times New Roman"/>
          <w:color w:val="0000FF"/>
          <w:sz w:val="28"/>
        </w:rPr>
        <w:instrText>HYPERLINK "https://storage.consultant.ru/site20/202607/17/prfz_170726-1194918.rtf"</w:instrText>
      </w:r>
      <w:r>
        <w:rPr>
          <w:rFonts w:ascii="Times New Roman" w:hAnsi="Times New Roman"/>
          <w:color w:val="0000FF"/>
          <w:sz w:val="28"/>
        </w:rPr>
        <w:fldChar w:fldCharType="separate"/>
      </w:r>
      <w:r>
        <w:rPr>
          <w:rFonts w:ascii="Times New Roman" w:hAnsi="Times New Roman"/>
          <w:color w:val="0000FF"/>
          <w:sz w:val="28"/>
        </w:rPr>
        <w:t>Проект</w:t>
      </w:r>
      <w:r>
        <w:rPr>
          <w:rFonts w:ascii="Times New Roman" w:hAnsi="Times New Roman"/>
          <w:color w:val="0000FF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Федерального закона N 1194918-8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"О цифровых валютах и цифровых правах" (текст ко второму чтению))</w:t>
      </w: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2026-07-26T09:44:17Z</dcterms:created>
  <dcterms:modified xsi:type="dcterms:W3CDTF">2026-07-26T09:44:17Z</dcterms:modified>
</cp:coreProperties>
</file>